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273C" w14:textId="28B3CFDA" w:rsidR="009625F1" w:rsidRPr="006C3AB7" w:rsidRDefault="009625F1" w:rsidP="009625F1">
      <w:pPr>
        <w:spacing w:before="100" w:beforeAutospacing="1" w:after="100" w:afterAutospacing="1" w:line="240" w:lineRule="auto"/>
        <w:textAlignment w:val="baseline"/>
        <w:rPr>
          <w:rFonts w:ascii="Book Antiqua" w:eastAsia="Times New Roman" w:hAnsi="Book Antiqua" w:cs="Segoe UI"/>
          <w:b/>
          <w:bCs/>
          <w:kern w:val="0"/>
          <w:sz w:val="32"/>
          <w:szCs w:val="32"/>
          <w14:ligatures w14:val="none"/>
        </w:rPr>
      </w:pPr>
      <w:r w:rsidRPr="006C3AB7">
        <w:rPr>
          <w:rFonts w:ascii="Book Antiqua" w:eastAsia="Times New Roman" w:hAnsi="Book Antiqua" w:cs="Segoe UI"/>
          <w:b/>
          <w:bCs/>
          <w:kern w:val="0"/>
          <w:sz w:val="32"/>
          <w:szCs w:val="32"/>
          <w14:ligatures w14:val="none"/>
        </w:rPr>
        <w:t>Reimagining the University: A Blue-Sky Visioning Framework for Artificial Intelligence Campus-Wide Integration</w:t>
      </w:r>
    </w:p>
    <w:p w14:paraId="6823E635" w14:textId="0B5210A6" w:rsidR="009625F1" w:rsidRPr="009625F1" w:rsidRDefault="009625F1" w:rsidP="009625F1">
      <w:pPr>
        <w:spacing w:before="100" w:beforeAutospacing="1" w:after="100" w:afterAutospacing="1" w:line="240" w:lineRule="auto"/>
        <w:textAlignment w:val="baseline"/>
        <w:rPr>
          <w:rFonts w:ascii="Book Antiqua" w:eastAsia="Times New Roman" w:hAnsi="Book Antiqua" w:cs="Segoe UI"/>
          <w:kern w:val="0"/>
          <w:vertAlign w:val="superscript"/>
          <w14:ligatures w14:val="none"/>
        </w:rPr>
      </w:pPr>
      <w:r w:rsidRPr="009625F1">
        <w:rPr>
          <w:rFonts w:ascii="Book Antiqua" w:eastAsia="Times New Roman" w:hAnsi="Book Antiqua" w:cs="Segoe UI"/>
          <w:b/>
          <w:bCs/>
          <w:kern w:val="0"/>
          <w14:ligatures w14:val="none"/>
        </w:rPr>
        <w:t xml:space="preserve">Authors: </w:t>
      </w:r>
      <w:bookmarkStart w:id="0" w:name="_Hlk207296763"/>
      <w:r w:rsidRPr="009625F1">
        <w:rPr>
          <w:rFonts w:ascii="Book Antiqua" w:eastAsia="Times New Roman" w:hAnsi="Book Antiqua" w:cs="Segoe UI"/>
          <w:kern w:val="0"/>
          <w14:ligatures w14:val="none"/>
        </w:rPr>
        <w:t>Jane Southworth</w:t>
      </w:r>
      <w:r w:rsidRPr="009625F1">
        <w:rPr>
          <w:rFonts w:ascii="Book Antiqua" w:eastAsia="Times New Roman" w:hAnsi="Book Antiqua" w:cs="Segoe UI"/>
          <w:kern w:val="0"/>
          <w:vertAlign w:val="superscript"/>
          <w14:ligatures w14:val="none"/>
        </w:rPr>
        <w:t>1*</w:t>
      </w:r>
      <w:r w:rsidRPr="009625F1">
        <w:rPr>
          <w:rFonts w:ascii="Book Antiqua" w:eastAsia="Times New Roman" w:hAnsi="Book Antiqua" w:cs="Segoe UI"/>
          <w:kern w:val="0"/>
          <w14:ligatures w14:val="none"/>
        </w:rPr>
        <w:t>, Kati W. Migliaccio</w:t>
      </w:r>
      <w:r w:rsidRPr="009625F1">
        <w:rPr>
          <w:rFonts w:ascii="Book Antiqua" w:eastAsia="Times New Roman" w:hAnsi="Book Antiqua" w:cs="Segoe UI"/>
          <w:kern w:val="0"/>
          <w:vertAlign w:val="superscript"/>
          <w14:ligatures w14:val="none"/>
        </w:rPr>
        <w:t>2</w:t>
      </w:r>
      <w:r w:rsidRPr="009625F1">
        <w:rPr>
          <w:rFonts w:ascii="Book Antiqua" w:eastAsia="Times New Roman" w:hAnsi="Book Antiqua" w:cs="Segoe UI"/>
          <w:kern w:val="0"/>
          <w14:ligatures w14:val="none"/>
        </w:rPr>
        <w:t>, Sarah VanSchoick</w:t>
      </w:r>
      <w:r w:rsidRPr="009625F1">
        <w:rPr>
          <w:rFonts w:ascii="Book Antiqua" w:eastAsia="Times New Roman" w:hAnsi="Book Antiqua" w:cs="Segoe UI"/>
          <w:kern w:val="0"/>
          <w:vertAlign w:val="superscript"/>
          <w14:ligatures w14:val="none"/>
        </w:rPr>
        <w:t>1</w:t>
      </w:r>
      <w:r w:rsidRPr="009625F1">
        <w:rPr>
          <w:rFonts w:ascii="Book Antiqua" w:eastAsia="Times New Roman" w:hAnsi="Book Antiqua" w:cs="Segoe UI"/>
          <w:kern w:val="0"/>
          <w14:ligatures w14:val="none"/>
        </w:rPr>
        <w:t>, Jospeh Glover</w:t>
      </w:r>
      <w:r w:rsidRPr="009625F1">
        <w:rPr>
          <w:rFonts w:ascii="Book Antiqua" w:eastAsia="Times New Roman" w:hAnsi="Book Antiqua" w:cs="Segoe UI"/>
          <w:kern w:val="0"/>
          <w:vertAlign w:val="superscript"/>
          <w14:ligatures w14:val="none"/>
        </w:rPr>
        <w:t>3</w:t>
      </w:r>
      <w:r w:rsidRPr="009625F1">
        <w:rPr>
          <w:rFonts w:ascii="Book Antiqua" w:eastAsia="Times New Roman" w:hAnsi="Book Antiqua" w:cs="Segoe UI"/>
          <w:kern w:val="0"/>
          <w14:ligatures w14:val="none"/>
        </w:rPr>
        <w:t>, Elias Eldayrie</w:t>
      </w:r>
      <w:r w:rsidRPr="009625F1">
        <w:rPr>
          <w:rFonts w:ascii="Book Antiqua" w:eastAsia="Times New Roman" w:hAnsi="Book Antiqua" w:cs="Segoe UI"/>
          <w:kern w:val="0"/>
          <w:vertAlign w:val="superscript"/>
          <w14:ligatures w14:val="none"/>
        </w:rPr>
        <w:t>4</w:t>
      </w:r>
      <w:r w:rsidRPr="009625F1">
        <w:rPr>
          <w:rFonts w:ascii="Book Antiqua" w:eastAsia="Times New Roman" w:hAnsi="Book Antiqua" w:cs="Segoe UI"/>
          <w:kern w:val="0"/>
          <w14:ligatures w14:val="none"/>
        </w:rPr>
        <w:t>, Jacob Albert</w:t>
      </w:r>
      <w:r w:rsidRPr="009625F1">
        <w:rPr>
          <w:rFonts w:ascii="Book Antiqua" w:eastAsia="Times New Roman" w:hAnsi="Book Antiqua" w:cs="Segoe UI"/>
          <w:kern w:val="0"/>
          <w:vertAlign w:val="superscript"/>
          <w14:ligatures w14:val="none"/>
        </w:rPr>
        <w:t>5</w:t>
      </w:r>
      <w:r w:rsidRPr="009625F1">
        <w:rPr>
          <w:rFonts w:ascii="Book Antiqua" w:eastAsia="Times New Roman" w:hAnsi="Book Antiqua" w:cs="Segoe UI"/>
          <w:kern w:val="0"/>
          <w14:ligatures w14:val="none"/>
        </w:rPr>
        <w:t>, Azra Bihorac</w:t>
      </w:r>
      <w:r w:rsidRPr="009625F1">
        <w:rPr>
          <w:rFonts w:ascii="Book Antiqua" w:eastAsia="Times New Roman" w:hAnsi="Book Antiqua" w:cs="Segoe UI"/>
          <w:kern w:val="0"/>
          <w:vertAlign w:val="superscript"/>
          <w14:ligatures w14:val="none"/>
        </w:rPr>
        <w:t>6</w:t>
      </w:r>
      <w:r w:rsidRPr="009625F1">
        <w:rPr>
          <w:rFonts w:ascii="Book Antiqua" w:eastAsia="Times New Roman" w:hAnsi="Book Antiqua" w:cs="Segoe UI"/>
          <w:kern w:val="0"/>
          <w14:ligatures w14:val="none"/>
        </w:rPr>
        <w:t>, Alexandra Bitton-Bailey</w:t>
      </w:r>
      <w:r w:rsidRPr="009625F1">
        <w:rPr>
          <w:rFonts w:ascii="Book Antiqua" w:eastAsia="Times New Roman" w:hAnsi="Book Antiqua" w:cs="Segoe UI"/>
          <w:kern w:val="0"/>
          <w:vertAlign w:val="superscript"/>
          <w14:ligatures w14:val="none"/>
        </w:rPr>
        <w:t>7</w:t>
      </w:r>
      <w:r w:rsidRPr="009625F1">
        <w:rPr>
          <w:rFonts w:ascii="Book Antiqua" w:eastAsia="Times New Roman" w:hAnsi="Book Antiqua" w:cs="Segoe UI"/>
          <w:kern w:val="0"/>
          <w14:ligatures w14:val="none"/>
        </w:rPr>
        <w:t>, Ziynet Boz</w:t>
      </w:r>
      <w:r w:rsidRPr="009625F1">
        <w:rPr>
          <w:rFonts w:ascii="Book Antiqua" w:eastAsia="Times New Roman" w:hAnsi="Book Antiqua" w:cs="Segoe UI"/>
          <w:kern w:val="0"/>
          <w:vertAlign w:val="superscript"/>
          <w14:ligatures w14:val="none"/>
        </w:rPr>
        <w:t>8</w:t>
      </w:r>
      <w:r w:rsidRPr="009625F1">
        <w:rPr>
          <w:rFonts w:ascii="Book Antiqua" w:eastAsia="Times New Roman" w:hAnsi="Book Antiqua" w:cs="Segoe UI"/>
          <w:kern w:val="0"/>
          <w14:ligatures w14:val="none"/>
        </w:rPr>
        <w:t>, Sid Dobrin</w:t>
      </w:r>
      <w:r w:rsidRPr="009625F1">
        <w:rPr>
          <w:rFonts w:ascii="Book Antiqua" w:eastAsia="Times New Roman" w:hAnsi="Book Antiqua" w:cs="Segoe UI"/>
          <w:kern w:val="0"/>
          <w:vertAlign w:val="superscript"/>
          <w14:ligatures w14:val="none"/>
        </w:rPr>
        <w:t>9</w:t>
      </w:r>
      <w:r w:rsidRPr="009625F1">
        <w:rPr>
          <w:rFonts w:ascii="Book Antiqua" w:eastAsia="Times New Roman" w:hAnsi="Book Antiqua" w:cs="Segoe UI"/>
          <w:kern w:val="0"/>
          <w14:ligatures w14:val="none"/>
        </w:rPr>
        <w:t>, Ja’Net Glover</w:t>
      </w:r>
      <w:r w:rsidRPr="009625F1">
        <w:rPr>
          <w:rFonts w:ascii="Book Antiqua" w:eastAsia="Times New Roman" w:hAnsi="Book Antiqua" w:cs="Segoe UI"/>
          <w:kern w:val="0"/>
          <w:vertAlign w:val="superscript"/>
          <w14:ligatures w14:val="none"/>
        </w:rPr>
        <w:t>10</w:t>
      </w:r>
      <w:r w:rsidRPr="009625F1">
        <w:rPr>
          <w:rFonts w:ascii="Book Antiqua" w:eastAsia="Times New Roman" w:hAnsi="Book Antiqua" w:cs="Segoe UI"/>
          <w:kern w:val="0"/>
          <w14:ligatures w14:val="none"/>
        </w:rPr>
        <w:t>, Jenna Gonzalez</w:t>
      </w:r>
      <w:r w:rsidRPr="009625F1">
        <w:rPr>
          <w:rFonts w:ascii="Book Antiqua" w:eastAsia="Times New Roman" w:hAnsi="Book Antiqua" w:cs="Segoe UI"/>
          <w:kern w:val="0"/>
          <w:vertAlign w:val="superscript"/>
          <w14:ligatures w14:val="none"/>
        </w:rPr>
        <w:t>11</w:t>
      </w:r>
      <w:r w:rsidRPr="009625F1">
        <w:rPr>
          <w:rFonts w:ascii="Book Antiqua" w:eastAsia="Times New Roman" w:hAnsi="Book Antiqua" w:cs="Segoe UI"/>
          <w:kern w:val="0"/>
          <w14:ligatures w14:val="none"/>
        </w:rPr>
        <w:t>, Joel Harley</w:t>
      </w:r>
      <w:r w:rsidRPr="009625F1">
        <w:rPr>
          <w:rFonts w:ascii="Book Antiqua" w:eastAsia="Times New Roman" w:hAnsi="Book Antiqua" w:cs="Segoe UI"/>
          <w:kern w:val="0"/>
          <w:vertAlign w:val="superscript"/>
          <w14:ligatures w14:val="none"/>
        </w:rPr>
        <w:t>12</w:t>
      </w:r>
      <w:r w:rsidRPr="009625F1">
        <w:rPr>
          <w:rFonts w:ascii="Book Antiqua" w:eastAsia="Times New Roman" w:hAnsi="Book Antiqua" w:cs="Segoe UI"/>
          <w:kern w:val="0"/>
          <w14:ligatures w14:val="none"/>
        </w:rPr>
        <w:t>, Amber Hatch</w:t>
      </w:r>
      <w:r w:rsidRPr="009625F1">
        <w:rPr>
          <w:rFonts w:ascii="Book Antiqua" w:eastAsia="Times New Roman" w:hAnsi="Book Antiqua" w:cs="Segoe UI"/>
          <w:kern w:val="0"/>
          <w:vertAlign w:val="superscript"/>
          <w14:ligatures w14:val="none"/>
        </w:rPr>
        <w:t>13</w:t>
      </w:r>
      <w:r w:rsidRPr="009625F1">
        <w:rPr>
          <w:rFonts w:ascii="Book Antiqua" w:eastAsia="Times New Roman" w:hAnsi="Book Antiqua" w:cs="Segoe UI"/>
          <w:kern w:val="0"/>
          <w14:ligatures w14:val="none"/>
        </w:rPr>
        <w:t>, Patricia Kio</w:t>
      </w:r>
      <w:r w:rsidRPr="009625F1">
        <w:rPr>
          <w:rFonts w:ascii="Book Antiqua" w:eastAsia="Times New Roman" w:hAnsi="Book Antiqua" w:cs="Segoe UI"/>
          <w:kern w:val="0"/>
          <w:vertAlign w:val="superscript"/>
          <w14:ligatures w14:val="none"/>
        </w:rPr>
        <w:t>14</w:t>
      </w:r>
      <w:r w:rsidRPr="009625F1">
        <w:rPr>
          <w:rFonts w:ascii="Book Antiqua" w:eastAsia="Times New Roman" w:hAnsi="Book Antiqua" w:cs="Segoe UI"/>
          <w:kern w:val="0"/>
          <w14:ligatures w14:val="none"/>
        </w:rPr>
        <w:t>, Christopher McCarty</w:t>
      </w:r>
      <w:r w:rsidRPr="009625F1">
        <w:rPr>
          <w:rFonts w:ascii="Book Antiqua" w:eastAsia="Times New Roman" w:hAnsi="Book Antiqua" w:cs="Segoe UI"/>
          <w:kern w:val="0"/>
          <w:vertAlign w:val="superscript"/>
          <w14:ligatures w14:val="none"/>
        </w:rPr>
        <w:t>15</w:t>
      </w:r>
      <w:r w:rsidRPr="009625F1">
        <w:rPr>
          <w:rFonts w:ascii="Book Antiqua" w:eastAsia="Times New Roman" w:hAnsi="Book Antiqua" w:cs="Segoe UI"/>
          <w:kern w:val="0"/>
          <w14:ligatures w14:val="none"/>
        </w:rPr>
        <w:t>, Jasmine McNealy</w:t>
      </w:r>
      <w:r w:rsidRPr="009625F1">
        <w:rPr>
          <w:rFonts w:ascii="Book Antiqua" w:eastAsia="Times New Roman" w:hAnsi="Book Antiqua" w:cs="Segoe UI"/>
          <w:kern w:val="0"/>
          <w:vertAlign w:val="superscript"/>
          <w14:ligatures w14:val="none"/>
        </w:rPr>
        <w:t>16</w:t>
      </w:r>
      <w:r w:rsidRPr="009625F1">
        <w:rPr>
          <w:rFonts w:ascii="Book Antiqua" w:eastAsia="Times New Roman" w:hAnsi="Book Antiqua" w:cs="Segoe UI"/>
          <w:kern w:val="0"/>
          <w14:ligatures w14:val="none"/>
        </w:rPr>
        <w:t>, David L. Reed</w:t>
      </w:r>
      <w:r w:rsidRPr="009625F1">
        <w:rPr>
          <w:rFonts w:ascii="Book Antiqua" w:eastAsia="Times New Roman" w:hAnsi="Book Antiqua" w:cs="Segoe UI"/>
          <w:kern w:val="0"/>
          <w:vertAlign w:val="superscript"/>
          <w14:ligatures w14:val="none"/>
        </w:rPr>
        <w:t>17</w:t>
      </w:r>
      <w:r w:rsidRPr="009625F1">
        <w:rPr>
          <w:rFonts w:ascii="Book Antiqua" w:eastAsia="Times New Roman" w:hAnsi="Book Antiqua" w:cs="Segoe UI"/>
          <w:kern w:val="0"/>
          <w14:ligatures w14:val="none"/>
        </w:rPr>
        <w:t>, Aniruth Venkedesh</w:t>
      </w:r>
      <w:r w:rsidRPr="009625F1">
        <w:rPr>
          <w:rFonts w:ascii="Book Antiqua" w:eastAsia="Times New Roman" w:hAnsi="Book Antiqua" w:cs="Segoe UI"/>
          <w:kern w:val="0"/>
          <w:vertAlign w:val="superscript"/>
          <w14:ligatures w14:val="none"/>
        </w:rPr>
        <w:t>18</w:t>
      </w:r>
      <w:r w:rsidRPr="009625F1">
        <w:rPr>
          <w:rFonts w:ascii="Book Antiqua" w:eastAsia="Times New Roman" w:hAnsi="Book Antiqua" w:cs="Segoe UI"/>
          <w:kern w:val="0"/>
          <w14:ligatures w14:val="none"/>
        </w:rPr>
        <w:t>, Amelia Winger-Bearskin</w:t>
      </w:r>
      <w:r w:rsidRPr="009625F1">
        <w:rPr>
          <w:rFonts w:ascii="Book Antiqua" w:eastAsia="Times New Roman" w:hAnsi="Book Antiqua" w:cs="Segoe UI"/>
          <w:kern w:val="0"/>
          <w:vertAlign w:val="superscript"/>
          <w14:ligatures w14:val="none"/>
        </w:rPr>
        <w:t>19</w:t>
      </w:r>
      <w:r w:rsidRPr="009625F1">
        <w:rPr>
          <w:rFonts w:ascii="Book Antiqua" w:eastAsia="Times New Roman" w:hAnsi="Book Antiqua" w:cs="Segoe UI"/>
          <w:kern w:val="0"/>
          <w14:ligatures w14:val="none"/>
        </w:rPr>
        <w:t>, and Alina Zare</w:t>
      </w:r>
      <w:r w:rsidRPr="009625F1">
        <w:rPr>
          <w:rFonts w:ascii="Book Antiqua" w:eastAsia="Times New Roman" w:hAnsi="Book Antiqua" w:cs="Segoe UI"/>
          <w:kern w:val="0"/>
          <w:vertAlign w:val="superscript"/>
          <w14:ligatures w14:val="none"/>
        </w:rPr>
        <w:t>20</w:t>
      </w:r>
      <w:bookmarkEnd w:id="0"/>
    </w:p>
    <w:p w14:paraId="44435B1E"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w:t>
      </w:r>
      <w:r w:rsidRPr="009625F1">
        <w:rPr>
          <w:rFonts w:ascii="Book Antiqua" w:eastAsia="Times New Roman" w:hAnsi="Book Antiqua" w:cs="Segoe UI"/>
          <w:kern w:val="0"/>
          <w14:ligatures w14:val="none"/>
        </w:rPr>
        <w:t xml:space="preserve"> Professor, Department of Geography, University of Florida, Gainesville, FL, USA </w:t>
      </w:r>
      <w:r w:rsidRPr="009625F1">
        <w:rPr>
          <w:rFonts w:ascii="Book Antiqua" w:eastAsia="Times New Roman" w:hAnsi="Book Antiqua" w:cs="Segoe UI"/>
          <w:b/>
          <w:bCs/>
          <w:kern w:val="0"/>
          <w14:ligatures w14:val="none"/>
        </w:rPr>
        <w:t xml:space="preserve">[*corresponding author: </w:t>
      </w:r>
      <w:hyperlink r:id="rId8" w:history="1">
        <w:r w:rsidRPr="009625F1">
          <w:rPr>
            <w:rFonts w:ascii="Book Antiqua" w:eastAsia="Times New Roman" w:hAnsi="Book Antiqua" w:cs="Segoe UI"/>
            <w:b/>
            <w:bCs/>
            <w:color w:val="0000FF"/>
            <w:kern w:val="0"/>
            <w:u w:val="single"/>
            <w14:ligatures w14:val="none"/>
          </w:rPr>
          <w:t>jsouthwo@ufl.edu</w:t>
        </w:r>
      </w:hyperlink>
      <w:r w:rsidRPr="009625F1">
        <w:rPr>
          <w:rFonts w:ascii="Book Antiqua" w:eastAsia="Times New Roman" w:hAnsi="Book Antiqua" w:cs="Segoe UI"/>
          <w:kern w:val="0"/>
          <w14:ligatures w14:val="none"/>
        </w:rPr>
        <w:t>] OrcID: 0000-0002-7246-7879</w:t>
      </w:r>
    </w:p>
    <w:p w14:paraId="670B5BE6"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2</w:t>
      </w:r>
      <w:r w:rsidRPr="009625F1">
        <w:rPr>
          <w:rFonts w:ascii="Book Antiqua" w:eastAsia="Times New Roman" w:hAnsi="Book Antiqua" w:cs="Segoe UI"/>
          <w:kern w:val="0"/>
          <w14:ligatures w14:val="none"/>
        </w:rPr>
        <w:t xml:space="preserve"> Dean, College of Agricultural &amp; Life Sciences, University of Florida, Gainesville, FL, USA. </w:t>
      </w:r>
      <w:hyperlink r:id="rId9" w:history="1">
        <w:r w:rsidRPr="009625F1">
          <w:rPr>
            <w:rFonts w:ascii="Book Antiqua" w:eastAsia="Times New Roman" w:hAnsi="Book Antiqua" w:cs="Segoe UI"/>
            <w:color w:val="0000FF"/>
            <w:kern w:val="0"/>
            <w:u w:val="single"/>
            <w14:ligatures w14:val="none"/>
          </w:rPr>
          <w:t>klwhite@ufl.edu</w:t>
        </w:r>
      </w:hyperlink>
      <w:r w:rsidRPr="009625F1">
        <w:rPr>
          <w:rFonts w:ascii="Book Antiqua" w:eastAsia="Times New Roman" w:hAnsi="Book Antiqua" w:cs="Segoe UI"/>
          <w:kern w:val="0"/>
          <w14:ligatures w14:val="none"/>
        </w:rPr>
        <w:t xml:space="preserve"> </w:t>
      </w:r>
    </w:p>
    <w:p w14:paraId="39D163C4"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w:t>
      </w:r>
      <w:r w:rsidRPr="009625F1">
        <w:rPr>
          <w:rFonts w:ascii="Book Antiqua" w:eastAsia="Times New Roman" w:hAnsi="Book Antiqua" w:cs="Segoe UI"/>
          <w:kern w:val="0"/>
          <w14:ligatures w14:val="none"/>
        </w:rPr>
        <w:t xml:space="preserve"> Graduate Student,  and Department of Geography, University of Florida, Gainesville, FL, USA. </w:t>
      </w:r>
      <w:hyperlink r:id="rId10" w:history="1">
        <w:r w:rsidRPr="009625F1">
          <w:rPr>
            <w:rFonts w:ascii="Book Antiqua" w:eastAsia="Times New Roman" w:hAnsi="Book Antiqua" w:cs="Segoe UI"/>
            <w:color w:val="0000FF"/>
            <w:kern w:val="0"/>
            <w:u w:val="single"/>
            <w14:ligatures w14:val="none"/>
          </w:rPr>
          <w:t>sm.vanschoick@ufl.edu</w:t>
        </w:r>
      </w:hyperlink>
      <w:r w:rsidRPr="009625F1">
        <w:rPr>
          <w:rFonts w:ascii="Book Antiqua" w:eastAsia="Times New Roman" w:hAnsi="Book Antiqua" w:cs="Segoe UI"/>
          <w:kern w:val="0"/>
          <w14:ligatures w14:val="none"/>
        </w:rPr>
        <w:t xml:space="preserve"> </w:t>
      </w:r>
    </w:p>
    <w:p w14:paraId="30ED2E8B"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3</w:t>
      </w:r>
      <w:r w:rsidRPr="009625F1">
        <w:rPr>
          <w:rFonts w:ascii="Book Antiqua" w:eastAsia="Times New Roman" w:hAnsi="Book Antiqua" w:cs="Segoe UI"/>
          <w:kern w:val="0"/>
          <w14:ligatures w14:val="none"/>
        </w:rPr>
        <w:t xml:space="preserve"> Provost, University of Florida, Gainesville, FL, USA. </w:t>
      </w:r>
      <w:hyperlink r:id="rId11" w:history="1">
        <w:r w:rsidRPr="009625F1">
          <w:rPr>
            <w:rFonts w:ascii="Book Antiqua" w:eastAsia="Times New Roman" w:hAnsi="Book Antiqua" w:cs="Segoe UI"/>
            <w:color w:val="0000FF"/>
            <w:kern w:val="0"/>
            <w:u w:val="single"/>
            <w14:ligatures w14:val="none"/>
          </w:rPr>
          <w:t>glover@ufl.edu</w:t>
        </w:r>
      </w:hyperlink>
      <w:r w:rsidRPr="009625F1">
        <w:rPr>
          <w:rFonts w:ascii="Book Antiqua" w:eastAsia="Times New Roman" w:hAnsi="Book Antiqua" w:cs="Segoe UI"/>
          <w:kern w:val="0"/>
          <w14:ligatures w14:val="none"/>
        </w:rPr>
        <w:t xml:space="preserve"> </w:t>
      </w:r>
    </w:p>
    <w:p w14:paraId="161F6A42"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4</w:t>
      </w:r>
      <w:r w:rsidRPr="009625F1">
        <w:rPr>
          <w:rFonts w:ascii="Book Antiqua" w:eastAsia="Times New Roman" w:hAnsi="Book Antiqua" w:cs="Segoe UI"/>
          <w:kern w:val="0"/>
          <w14:ligatures w14:val="none"/>
        </w:rPr>
        <w:t xml:space="preserve"> Chief Information Officer, University of Florida, Gainesville, FL, USA. </w:t>
      </w:r>
      <w:hyperlink r:id="rId12" w:history="1">
        <w:r w:rsidRPr="009625F1">
          <w:rPr>
            <w:rFonts w:ascii="Book Antiqua" w:eastAsia="Times New Roman" w:hAnsi="Book Antiqua" w:cs="Segoe UI"/>
            <w:color w:val="0000FF"/>
            <w:kern w:val="0"/>
            <w:u w:val="single"/>
            <w14:ligatures w14:val="none"/>
          </w:rPr>
          <w:t>eldayrie@ufl.edu</w:t>
        </w:r>
      </w:hyperlink>
      <w:r w:rsidRPr="009625F1">
        <w:rPr>
          <w:rFonts w:ascii="Book Antiqua" w:eastAsia="Times New Roman" w:hAnsi="Book Antiqua" w:cs="Segoe UI"/>
          <w:kern w:val="0"/>
          <w14:ligatures w14:val="none"/>
        </w:rPr>
        <w:t xml:space="preserve"> </w:t>
      </w:r>
    </w:p>
    <w:p w14:paraId="4E3C1EB2"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5</w:t>
      </w:r>
      <w:r w:rsidRPr="009625F1">
        <w:rPr>
          <w:rFonts w:ascii="Book Antiqua" w:eastAsia="Times New Roman" w:hAnsi="Book Antiqua" w:cs="Segoe UI"/>
          <w:kern w:val="0"/>
          <w14:ligatures w14:val="none"/>
        </w:rPr>
        <w:t xml:space="preserve"> Undergraduate Student, University of Florida, Gainesville, FL, USA. </w:t>
      </w:r>
      <w:hyperlink r:id="rId13" w:history="1">
        <w:r w:rsidRPr="009625F1">
          <w:rPr>
            <w:rFonts w:ascii="Book Antiqua" w:eastAsia="Times New Roman" w:hAnsi="Book Antiqua" w:cs="Segoe UI"/>
            <w:color w:val="0000FF"/>
            <w:kern w:val="0"/>
            <w:u w:val="single"/>
            <w14:ligatures w14:val="none"/>
          </w:rPr>
          <w:t>jacobalbert@ufl.edu</w:t>
        </w:r>
      </w:hyperlink>
      <w:r w:rsidRPr="009625F1">
        <w:rPr>
          <w:rFonts w:ascii="Book Antiqua" w:eastAsia="Times New Roman" w:hAnsi="Book Antiqua" w:cs="Segoe UI"/>
          <w:kern w:val="0"/>
          <w14:ligatures w14:val="none"/>
        </w:rPr>
        <w:t xml:space="preserve"> </w:t>
      </w:r>
    </w:p>
    <w:p w14:paraId="73727FC2"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6</w:t>
      </w:r>
      <w:r w:rsidRPr="009625F1">
        <w:rPr>
          <w:rFonts w:ascii="Book Antiqua" w:eastAsia="Times New Roman" w:hAnsi="Book Antiqua" w:cs="Segoe UI"/>
          <w:kern w:val="0"/>
          <w14:ligatures w14:val="none"/>
        </w:rPr>
        <w:t xml:space="preserve"> UF Health, Sr Assoc Dean Research, University of Florida, Gainesville, FL, USA. </w:t>
      </w:r>
      <w:hyperlink r:id="rId14" w:history="1">
        <w:r w:rsidRPr="009625F1">
          <w:rPr>
            <w:rFonts w:ascii="Book Antiqua" w:eastAsia="Times New Roman" w:hAnsi="Book Antiqua" w:cs="Segoe UI"/>
            <w:color w:val="0000FF"/>
            <w:kern w:val="0"/>
            <w:u w:val="single"/>
            <w14:ligatures w14:val="none"/>
          </w:rPr>
          <w:t>abihorac@ufl.edu</w:t>
        </w:r>
      </w:hyperlink>
      <w:r w:rsidRPr="009625F1">
        <w:rPr>
          <w:rFonts w:ascii="Book Antiqua" w:eastAsia="Times New Roman" w:hAnsi="Book Antiqua" w:cs="Segoe UI"/>
          <w:kern w:val="0"/>
          <w14:ligatures w14:val="none"/>
        </w:rPr>
        <w:t xml:space="preserve"> </w:t>
      </w:r>
    </w:p>
    <w:p w14:paraId="0A9C214D"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7</w:t>
      </w:r>
      <w:r w:rsidRPr="009625F1">
        <w:rPr>
          <w:rFonts w:ascii="Book Antiqua" w:eastAsia="Times New Roman" w:hAnsi="Book Antiqua" w:cs="Segoe UI"/>
          <w:kern w:val="0"/>
          <w14:ligatures w14:val="none"/>
        </w:rPr>
        <w:t xml:space="preserve"> Director, Center for Teaching Excellence, University of Florida, Gainesville, FL, USA. </w:t>
      </w:r>
      <w:hyperlink r:id="rId15" w:history="1">
        <w:r w:rsidRPr="009625F1">
          <w:rPr>
            <w:rFonts w:ascii="Book Antiqua" w:eastAsia="Times New Roman" w:hAnsi="Book Antiqua" w:cs="Segoe UI"/>
            <w:color w:val="0000FF"/>
            <w:kern w:val="0"/>
            <w:u w:val="single"/>
            <w14:ligatures w14:val="none"/>
          </w:rPr>
          <w:t>abitton-bailey@aa.ufl.edu</w:t>
        </w:r>
      </w:hyperlink>
      <w:r w:rsidRPr="009625F1">
        <w:rPr>
          <w:rFonts w:ascii="Book Antiqua" w:eastAsia="Times New Roman" w:hAnsi="Book Antiqua" w:cs="Segoe UI"/>
          <w:kern w:val="0"/>
          <w14:ligatures w14:val="none"/>
        </w:rPr>
        <w:t xml:space="preserve"> </w:t>
      </w:r>
    </w:p>
    <w:p w14:paraId="22B64923"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8</w:t>
      </w:r>
      <w:r w:rsidRPr="009625F1">
        <w:rPr>
          <w:rFonts w:ascii="Book Antiqua" w:eastAsia="Times New Roman" w:hAnsi="Book Antiqua" w:cs="Segoe UI"/>
          <w:kern w:val="0"/>
          <w14:ligatures w14:val="none"/>
        </w:rPr>
        <w:t xml:space="preserve"> Assistant Professor, Agricultural &amp; Biological Engineering, University of Florida, Gainesville, FL, USA. </w:t>
      </w:r>
      <w:hyperlink r:id="rId16" w:history="1">
        <w:r w:rsidRPr="009625F1">
          <w:rPr>
            <w:rFonts w:ascii="Book Antiqua" w:eastAsia="Times New Roman" w:hAnsi="Book Antiqua" w:cs="Segoe UI"/>
            <w:color w:val="0000FF"/>
            <w:kern w:val="0"/>
            <w:u w:val="single"/>
            <w14:ligatures w14:val="none"/>
          </w:rPr>
          <w:t>ziynetboz@ufl.edu</w:t>
        </w:r>
      </w:hyperlink>
      <w:r w:rsidRPr="009625F1">
        <w:rPr>
          <w:rFonts w:ascii="Book Antiqua" w:eastAsia="Times New Roman" w:hAnsi="Book Antiqua" w:cs="Segoe UI"/>
          <w:kern w:val="0"/>
          <w14:ligatures w14:val="none"/>
        </w:rPr>
        <w:t xml:space="preserve"> </w:t>
      </w:r>
    </w:p>
    <w:p w14:paraId="4620861A"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9</w:t>
      </w:r>
      <w:r w:rsidRPr="009625F1">
        <w:rPr>
          <w:rFonts w:ascii="Book Antiqua" w:eastAsia="Times New Roman" w:hAnsi="Book Antiqua" w:cs="Segoe UI"/>
          <w:kern w:val="0"/>
          <w14:ligatures w14:val="none"/>
        </w:rPr>
        <w:t xml:space="preserve"> Professor, Department of English, University of Florida, Gainesville, FL, USA. </w:t>
      </w:r>
      <w:hyperlink r:id="rId17" w:history="1">
        <w:r w:rsidRPr="009625F1">
          <w:rPr>
            <w:rFonts w:ascii="Book Antiqua" w:eastAsia="Times New Roman" w:hAnsi="Book Antiqua" w:cs="Segoe UI"/>
            <w:color w:val="0000FF"/>
            <w:kern w:val="0"/>
            <w:u w:val="single"/>
            <w14:ligatures w14:val="none"/>
          </w:rPr>
          <w:t>sdobrin@ufl.edu</w:t>
        </w:r>
      </w:hyperlink>
      <w:r w:rsidRPr="009625F1">
        <w:rPr>
          <w:rFonts w:ascii="Book Antiqua" w:eastAsia="Times New Roman" w:hAnsi="Book Antiqua" w:cs="Segoe UI"/>
          <w:kern w:val="0"/>
          <w14:ligatures w14:val="none"/>
        </w:rPr>
        <w:t xml:space="preserve"> </w:t>
      </w:r>
    </w:p>
    <w:p w14:paraId="68C56ABC"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10</w:t>
      </w:r>
      <w:r w:rsidRPr="009625F1">
        <w:rPr>
          <w:rFonts w:ascii="Book Antiqua" w:eastAsia="Times New Roman" w:hAnsi="Book Antiqua" w:cs="Segoe UI"/>
          <w:kern w:val="0"/>
          <w14:ligatures w14:val="none"/>
        </w:rPr>
        <w:t xml:space="preserve"> Executive Dir. C3, Interim Assoc VP for Career and Integrated Partnerships, University of Florida, Gainesville, FL, USA. </w:t>
      </w:r>
      <w:hyperlink r:id="rId18" w:history="1">
        <w:r w:rsidRPr="009625F1">
          <w:rPr>
            <w:rFonts w:ascii="Book Antiqua" w:eastAsia="Times New Roman" w:hAnsi="Book Antiqua" w:cs="Segoe UI"/>
            <w:color w:val="0000FF"/>
            <w:kern w:val="0"/>
            <w:u w:val="single"/>
            <w14:ligatures w14:val="none"/>
          </w:rPr>
          <w:t>janet.glover@ufl.edu</w:t>
        </w:r>
      </w:hyperlink>
      <w:r w:rsidRPr="009625F1">
        <w:rPr>
          <w:rFonts w:ascii="Book Antiqua" w:eastAsia="Times New Roman" w:hAnsi="Book Antiqua" w:cs="Segoe UI"/>
          <w:kern w:val="0"/>
          <w14:ligatures w14:val="none"/>
        </w:rPr>
        <w:t xml:space="preserve"> </w:t>
      </w:r>
    </w:p>
    <w:p w14:paraId="789C9F96"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11</w:t>
      </w:r>
      <w:r w:rsidRPr="009625F1">
        <w:rPr>
          <w:rFonts w:ascii="Book Antiqua" w:eastAsia="Times New Roman" w:hAnsi="Book Antiqua" w:cs="Segoe UI"/>
          <w:kern w:val="0"/>
          <w14:ligatures w14:val="none"/>
        </w:rPr>
        <w:t xml:space="preserve"> Director, Disability Resource Center, University of Florida, Gainesville, FL, USA. </w:t>
      </w:r>
      <w:hyperlink r:id="rId19" w:history="1">
        <w:r w:rsidRPr="009625F1">
          <w:rPr>
            <w:rFonts w:ascii="Book Antiqua" w:eastAsia="Times New Roman" w:hAnsi="Book Antiqua" w:cs="Segoe UI"/>
            <w:color w:val="0000FF"/>
            <w:kern w:val="0"/>
            <w:u w:val="single"/>
            <w14:ligatures w14:val="none"/>
          </w:rPr>
          <w:t>jenna04@ufl.edu</w:t>
        </w:r>
      </w:hyperlink>
      <w:r w:rsidRPr="009625F1">
        <w:rPr>
          <w:rFonts w:ascii="Book Antiqua" w:eastAsia="Times New Roman" w:hAnsi="Book Antiqua" w:cs="Segoe UI"/>
          <w:kern w:val="0"/>
          <w14:ligatures w14:val="none"/>
        </w:rPr>
        <w:t xml:space="preserve"> </w:t>
      </w:r>
    </w:p>
    <w:p w14:paraId="2BA32FE9"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12</w:t>
      </w:r>
      <w:r w:rsidRPr="009625F1">
        <w:rPr>
          <w:rFonts w:ascii="Book Antiqua" w:eastAsia="Times New Roman" w:hAnsi="Book Antiqua" w:cs="Segoe UI"/>
          <w:kern w:val="0"/>
          <w14:ligatures w14:val="none"/>
        </w:rPr>
        <w:t xml:space="preserve"> Associate Professor, Department of Electrical &amp; Computer Engineering, University of Florida, Gainesville, FL, USA. </w:t>
      </w:r>
      <w:hyperlink r:id="rId20" w:history="1">
        <w:r w:rsidRPr="009625F1">
          <w:rPr>
            <w:rFonts w:ascii="Book Antiqua" w:eastAsia="Times New Roman" w:hAnsi="Book Antiqua" w:cs="Segoe UI"/>
            <w:color w:val="0000FF"/>
            <w:kern w:val="0"/>
            <w:u w:val="single"/>
            <w14:ligatures w14:val="none"/>
          </w:rPr>
          <w:t>joel.harley@ufl.edu</w:t>
        </w:r>
      </w:hyperlink>
      <w:r w:rsidRPr="009625F1">
        <w:rPr>
          <w:rFonts w:ascii="Book Antiqua" w:eastAsia="Times New Roman" w:hAnsi="Book Antiqua" w:cs="Segoe UI"/>
          <w:kern w:val="0"/>
          <w14:ligatures w14:val="none"/>
        </w:rPr>
        <w:t xml:space="preserve"> </w:t>
      </w:r>
    </w:p>
    <w:p w14:paraId="2E71BF35"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13</w:t>
      </w:r>
      <w:r w:rsidRPr="009625F1">
        <w:rPr>
          <w:rFonts w:ascii="Book Antiqua" w:eastAsia="Times New Roman" w:hAnsi="Book Antiqua" w:cs="Segoe UI"/>
          <w:kern w:val="0"/>
          <w14:ligatures w14:val="none"/>
        </w:rPr>
        <w:t xml:space="preserve"> Graduate Student, University of Florida, Gainesville, FL, USA. </w:t>
      </w:r>
      <w:hyperlink r:id="rId21" w:history="1">
        <w:r w:rsidRPr="009625F1">
          <w:rPr>
            <w:rFonts w:ascii="Book Antiqua" w:eastAsia="Times New Roman" w:hAnsi="Book Antiqua" w:cs="Segoe UI"/>
            <w:color w:val="0000FF"/>
            <w:kern w:val="0"/>
            <w:u w:val="single"/>
            <w14:ligatures w14:val="none"/>
          </w:rPr>
          <w:t>hatcha@ufl.edu</w:t>
        </w:r>
      </w:hyperlink>
      <w:r w:rsidRPr="009625F1">
        <w:rPr>
          <w:rFonts w:ascii="Book Antiqua" w:eastAsia="Times New Roman" w:hAnsi="Book Antiqua" w:cs="Segoe UI"/>
          <w:kern w:val="0"/>
          <w14:ligatures w14:val="none"/>
        </w:rPr>
        <w:t xml:space="preserve"> </w:t>
      </w:r>
    </w:p>
    <w:p w14:paraId="5CC12B9E"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14</w:t>
      </w:r>
      <w:r w:rsidRPr="009625F1">
        <w:rPr>
          <w:rFonts w:ascii="Book Antiqua" w:eastAsia="Times New Roman" w:hAnsi="Book Antiqua" w:cs="Segoe UI"/>
          <w:kern w:val="0"/>
          <w14:ligatures w14:val="none"/>
        </w:rPr>
        <w:t xml:space="preserve"> Assistant Professor, School of Architecture, Sustainability and the Built Environment, University of Florida, Gainesville, FL, USA. </w:t>
      </w:r>
      <w:hyperlink r:id="rId22" w:history="1">
        <w:r w:rsidRPr="009625F1">
          <w:rPr>
            <w:rFonts w:ascii="Book Antiqua" w:eastAsia="Times New Roman" w:hAnsi="Book Antiqua" w:cs="Segoe UI"/>
            <w:color w:val="0000FF"/>
            <w:kern w:val="0"/>
            <w:u w:val="single"/>
            <w14:ligatures w14:val="none"/>
          </w:rPr>
          <w:t>p.kio@ufl.edu</w:t>
        </w:r>
      </w:hyperlink>
      <w:r w:rsidRPr="009625F1">
        <w:rPr>
          <w:rFonts w:ascii="Book Antiqua" w:eastAsia="Times New Roman" w:hAnsi="Book Antiqua" w:cs="Segoe UI"/>
          <w:kern w:val="0"/>
          <w14:ligatures w14:val="none"/>
        </w:rPr>
        <w:t xml:space="preserve"> </w:t>
      </w:r>
    </w:p>
    <w:p w14:paraId="79B344A8"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15</w:t>
      </w:r>
      <w:r w:rsidRPr="009625F1">
        <w:rPr>
          <w:rFonts w:ascii="Book Antiqua" w:eastAsia="Times New Roman" w:hAnsi="Book Antiqua" w:cs="Segoe UI"/>
          <w:kern w:val="0"/>
          <w14:ligatures w14:val="none"/>
        </w:rPr>
        <w:t xml:space="preserve"> Director, UF Bureau of Economic &amp; Business Research, University of Florida, Gainesville, FL, USA. </w:t>
      </w:r>
      <w:hyperlink r:id="rId23" w:history="1">
        <w:r w:rsidRPr="009625F1">
          <w:rPr>
            <w:rFonts w:ascii="Book Antiqua" w:eastAsia="Times New Roman" w:hAnsi="Book Antiqua" w:cs="Segoe UI"/>
            <w:color w:val="0000FF"/>
            <w:kern w:val="0"/>
            <w:u w:val="single"/>
            <w14:ligatures w14:val="none"/>
          </w:rPr>
          <w:t>ufchris@ufl.edu</w:t>
        </w:r>
      </w:hyperlink>
      <w:r w:rsidRPr="009625F1">
        <w:rPr>
          <w:rFonts w:ascii="Book Antiqua" w:eastAsia="Times New Roman" w:hAnsi="Book Antiqua" w:cs="Segoe UI"/>
          <w:kern w:val="0"/>
          <w14:ligatures w14:val="none"/>
        </w:rPr>
        <w:t xml:space="preserve"> </w:t>
      </w:r>
    </w:p>
    <w:p w14:paraId="6D5DCF53"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16</w:t>
      </w:r>
      <w:r w:rsidRPr="009625F1">
        <w:rPr>
          <w:rFonts w:ascii="Book Antiqua" w:eastAsia="Times New Roman" w:hAnsi="Book Antiqua" w:cs="Segoe UI"/>
          <w:kern w:val="0"/>
          <w14:ligatures w14:val="none"/>
        </w:rPr>
        <w:t xml:space="preserve"> Professor, College of Journalism &amp; Communications, University of Florida, Gainesville, FL, USA. </w:t>
      </w:r>
      <w:hyperlink r:id="rId24" w:history="1">
        <w:r w:rsidRPr="009625F1">
          <w:rPr>
            <w:rFonts w:ascii="Book Antiqua" w:eastAsia="Times New Roman" w:hAnsi="Book Antiqua" w:cs="Segoe UI"/>
            <w:color w:val="0000FF"/>
            <w:kern w:val="0"/>
            <w:u w:val="single"/>
            <w14:ligatures w14:val="none"/>
          </w:rPr>
          <w:t>jmcnealy@ufl.edu</w:t>
        </w:r>
      </w:hyperlink>
      <w:r w:rsidRPr="009625F1">
        <w:rPr>
          <w:rFonts w:ascii="Book Antiqua" w:eastAsia="Times New Roman" w:hAnsi="Book Antiqua" w:cs="Segoe UI"/>
          <w:kern w:val="0"/>
          <w14:ligatures w14:val="none"/>
        </w:rPr>
        <w:t xml:space="preserve"> </w:t>
      </w:r>
    </w:p>
    <w:p w14:paraId="42E78B61"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17</w:t>
      </w:r>
      <w:r w:rsidRPr="009625F1">
        <w:rPr>
          <w:rFonts w:ascii="Book Antiqua" w:eastAsia="Times New Roman" w:hAnsi="Book Antiqua" w:cs="Segoe UI"/>
          <w:kern w:val="0"/>
          <w14:ligatures w14:val="none"/>
        </w:rPr>
        <w:t xml:space="preserve"> Associate Provost, University of Florida, Gainesville, FL, USA. </w:t>
      </w:r>
      <w:hyperlink r:id="rId25" w:history="1">
        <w:r w:rsidRPr="009625F1">
          <w:rPr>
            <w:rFonts w:ascii="Book Antiqua" w:eastAsia="Times New Roman" w:hAnsi="Book Antiqua" w:cs="Segoe UI"/>
            <w:color w:val="0000FF"/>
            <w:kern w:val="0"/>
            <w:u w:val="single"/>
            <w14:ligatures w14:val="none"/>
          </w:rPr>
          <w:t>dlreed@ufl.edu</w:t>
        </w:r>
      </w:hyperlink>
      <w:r w:rsidRPr="009625F1">
        <w:rPr>
          <w:rFonts w:ascii="Book Antiqua" w:eastAsia="Times New Roman" w:hAnsi="Book Antiqua" w:cs="Segoe UI"/>
          <w:kern w:val="0"/>
          <w14:ligatures w14:val="none"/>
        </w:rPr>
        <w:t xml:space="preserve"> </w:t>
      </w:r>
    </w:p>
    <w:p w14:paraId="47DAD531"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18</w:t>
      </w:r>
      <w:r w:rsidRPr="009625F1">
        <w:rPr>
          <w:rFonts w:ascii="Book Antiqua" w:eastAsia="Times New Roman" w:hAnsi="Book Antiqua" w:cs="Segoe UI"/>
          <w:kern w:val="0"/>
          <w14:ligatures w14:val="none"/>
        </w:rPr>
        <w:t xml:space="preserve"> Undergraduate Student, University of Florida, Gainesville, FL, USA. </w:t>
      </w:r>
      <w:hyperlink r:id="rId26" w:history="1">
        <w:r w:rsidRPr="009625F1">
          <w:rPr>
            <w:rFonts w:ascii="Book Antiqua" w:eastAsia="Times New Roman" w:hAnsi="Book Antiqua" w:cs="Segoe UI"/>
            <w:color w:val="0000FF"/>
            <w:kern w:val="0"/>
            <w:u w:val="single"/>
            <w14:ligatures w14:val="none"/>
          </w:rPr>
          <w:t>a.venkedesh@ufl.edu</w:t>
        </w:r>
      </w:hyperlink>
      <w:r w:rsidRPr="009625F1">
        <w:rPr>
          <w:rFonts w:ascii="Book Antiqua" w:eastAsia="Times New Roman" w:hAnsi="Book Antiqua" w:cs="Segoe UI"/>
          <w:kern w:val="0"/>
          <w14:ligatures w14:val="none"/>
        </w:rPr>
        <w:t xml:space="preserve"> </w:t>
      </w:r>
    </w:p>
    <w:p w14:paraId="3131812F"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19</w:t>
      </w:r>
      <w:r w:rsidRPr="009625F1">
        <w:rPr>
          <w:rFonts w:ascii="Book Antiqua" w:eastAsia="Times New Roman" w:hAnsi="Book Antiqua" w:cs="Segoe UI"/>
          <w:kern w:val="0"/>
          <w14:ligatures w14:val="none"/>
        </w:rPr>
        <w:t xml:space="preserve"> Chair, Digital Worlds Institute, University of Florida, Gainesville, FL, USA. </w:t>
      </w:r>
      <w:hyperlink r:id="rId27" w:history="1">
        <w:r w:rsidRPr="009625F1">
          <w:rPr>
            <w:rFonts w:ascii="Book Antiqua" w:eastAsia="Times New Roman" w:hAnsi="Book Antiqua" w:cs="Segoe UI"/>
            <w:color w:val="0000FF"/>
            <w:kern w:val="0"/>
            <w:u w:val="single"/>
            <w14:ligatures w14:val="none"/>
          </w:rPr>
          <w:t>amelia@digitalworlds.ufl.edu</w:t>
        </w:r>
      </w:hyperlink>
      <w:r w:rsidRPr="009625F1">
        <w:rPr>
          <w:rFonts w:ascii="Book Antiqua" w:eastAsia="Times New Roman" w:hAnsi="Book Antiqua" w:cs="Segoe UI"/>
          <w:kern w:val="0"/>
          <w14:ligatures w14:val="none"/>
        </w:rPr>
        <w:t xml:space="preserve"> </w:t>
      </w:r>
    </w:p>
    <w:p w14:paraId="5335AD62" w14:textId="77777777" w:rsidR="009625F1" w:rsidRPr="009625F1" w:rsidRDefault="009625F1" w:rsidP="009625F1">
      <w:pPr>
        <w:spacing w:after="0" w:line="240" w:lineRule="auto"/>
        <w:textAlignment w:val="baseline"/>
        <w:rPr>
          <w:rFonts w:ascii="Book Antiqua" w:eastAsia="Times New Roman" w:hAnsi="Book Antiqua" w:cs="Segoe UI"/>
          <w:kern w:val="0"/>
          <w14:ligatures w14:val="none"/>
        </w:rPr>
      </w:pPr>
      <w:r w:rsidRPr="009625F1">
        <w:rPr>
          <w:rFonts w:ascii="Book Antiqua" w:eastAsia="Times New Roman" w:hAnsi="Book Antiqua" w:cs="Segoe UI"/>
          <w:kern w:val="0"/>
          <w:vertAlign w:val="superscript"/>
          <w14:ligatures w14:val="none"/>
        </w:rPr>
        <w:t>20</w:t>
      </w:r>
      <w:r w:rsidRPr="009625F1">
        <w:rPr>
          <w:rFonts w:ascii="Book Antiqua" w:eastAsia="Times New Roman" w:hAnsi="Book Antiqua" w:cs="Segoe UI"/>
          <w:kern w:val="0"/>
          <w14:ligatures w14:val="none"/>
        </w:rPr>
        <w:t xml:space="preserve"> Director, IIAIRI, University of Florida, Gainesville, FL, USA. </w:t>
      </w:r>
      <w:hyperlink r:id="rId28" w:history="1">
        <w:r w:rsidRPr="009625F1">
          <w:rPr>
            <w:rFonts w:ascii="Book Antiqua" w:eastAsia="Times New Roman" w:hAnsi="Book Antiqua" w:cs="Segoe UI"/>
            <w:color w:val="0000FF"/>
            <w:kern w:val="0"/>
            <w:u w:val="single"/>
            <w14:ligatures w14:val="none"/>
          </w:rPr>
          <w:t>azare@eng.ufl.edu</w:t>
        </w:r>
      </w:hyperlink>
      <w:r w:rsidRPr="009625F1">
        <w:rPr>
          <w:rFonts w:ascii="Book Antiqua" w:eastAsia="Times New Roman" w:hAnsi="Book Antiqua" w:cs="Segoe UI"/>
          <w:kern w:val="0"/>
          <w14:ligatures w14:val="none"/>
        </w:rPr>
        <w:t xml:space="preserve"> </w:t>
      </w:r>
    </w:p>
    <w:p w14:paraId="4D49631D" w14:textId="77777777" w:rsidR="009625F1" w:rsidRPr="009625F1" w:rsidRDefault="009625F1" w:rsidP="009625F1">
      <w:pPr>
        <w:spacing w:before="100" w:beforeAutospacing="1" w:after="0" w:line="240" w:lineRule="auto"/>
        <w:textAlignment w:val="baseline"/>
        <w:rPr>
          <w:rFonts w:ascii="Book Antiqua" w:eastAsia="Times New Roman" w:hAnsi="Book Antiqua" w:cs="Segoe UI"/>
          <w:kern w:val="0"/>
          <w:u w:val="single"/>
          <w14:ligatures w14:val="none"/>
        </w:rPr>
      </w:pPr>
    </w:p>
    <w:p w14:paraId="2D5DC0ED" w14:textId="77777777" w:rsidR="009625F1" w:rsidRDefault="009625F1" w:rsidP="00A6722F">
      <w:pPr>
        <w:rPr>
          <w:rFonts w:ascii="Book Antiqua" w:eastAsia="Times New Roman" w:hAnsi="Book Antiqua" w:cs="Segoe UI"/>
          <w:kern w:val="0"/>
          <w:u w:val="single"/>
          <w14:ligatures w14:val="none"/>
        </w:rPr>
      </w:pPr>
    </w:p>
    <w:p w14:paraId="605D7B7A" w14:textId="5D5552FE" w:rsidR="00A6722F" w:rsidRPr="00A6722F" w:rsidRDefault="00A6722F" w:rsidP="00A6722F">
      <w:pPr>
        <w:rPr>
          <w:b/>
          <w:bCs/>
        </w:rPr>
      </w:pPr>
      <w:r w:rsidRPr="00A6722F">
        <w:rPr>
          <w:b/>
          <w:bCs/>
        </w:rPr>
        <w:lastRenderedPageBreak/>
        <w:t>Abstract</w:t>
      </w:r>
    </w:p>
    <w:p w14:paraId="7D56F20D" w14:textId="74BF16F2" w:rsidR="00A6722F" w:rsidRPr="00A8447C" w:rsidRDefault="00A6722F" w:rsidP="00E90248">
      <w:pPr>
        <w:spacing w:line="480" w:lineRule="auto"/>
      </w:pPr>
      <w:r w:rsidRPr="00A6722F">
        <w:t>As artificial intelligence (AI) rapidly transforms the landscape</w:t>
      </w:r>
      <w:r w:rsidRPr="000354B5">
        <w:t xml:space="preserve"> of higher education, universities face choices about </w:t>
      </w:r>
      <w:r w:rsidR="0057645C" w:rsidRPr="000354B5">
        <w:t>investment</w:t>
      </w:r>
      <w:r w:rsidRPr="000354B5">
        <w:t xml:space="preserve">, </w:t>
      </w:r>
      <w:r w:rsidR="007E35DD" w:rsidRPr="000354B5">
        <w:t>short- and long-term</w:t>
      </w:r>
      <w:r w:rsidR="0057645C" w:rsidRPr="000354B5">
        <w:t xml:space="preserve"> </w:t>
      </w:r>
      <w:r w:rsidRPr="000354B5">
        <w:t>strateg</w:t>
      </w:r>
      <w:r w:rsidR="0057645C" w:rsidRPr="000354B5">
        <w:t>ies</w:t>
      </w:r>
      <w:r w:rsidRPr="000354B5">
        <w:t>, and</w:t>
      </w:r>
      <w:r w:rsidR="00F02C66" w:rsidRPr="000354B5">
        <w:rPr>
          <w:rStyle w:val="Heading1Char"/>
          <w:rFonts w:asciiTheme="minorHAnsi" w:hAnsiTheme="minorHAnsi"/>
          <w:sz w:val="22"/>
          <w:szCs w:val="22"/>
        </w:rPr>
        <w:t xml:space="preserve"> </w:t>
      </w:r>
      <w:r w:rsidR="00F02C66" w:rsidRPr="000354B5">
        <w:rPr>
          <w:rStyle w:val="cf01"/>
          <w:rFonts w:asciiTheme="minorHAnsi" w:hAnsiTheme="minorHAnsi"/>
          <w:sz w:val="22"/>
          <w:szCs w:val="22"/>
        </w:rPr>
        <w:t>higher education AI literacy responsibilities</w:t>
      </w:r>
      <w:r w:rsidRPr="000354B5">
        <w:t xml:space="preserve">. This paper documents and analyzes the University of Florida’s (UF) AI </w:t>
      </w:r>
      <w:r w:rsidR="00F21428">
        <w:t>Blue-sky</w:t>
      </w:r>
      <w:r w:rsidRPr="000354B5">
        <w:t xml:space="preserve"> Visioning Taskforce</w:t>
      </w:r>
      <w:r w:rsidR="00C26330">
        <w:t xml:space="preserve">, </w:t>
      </w:r>
      <w:r w:rsidRPr="000354B5">
        <w:t>a participatory foresight initiative designed to generate strategic, community-informed approaches to AI integration across teaching, research, o</w:t>
      </w:r>
      <w:r w:rsidRPr="00A6722F">
        <w:t>perations, and public engagement</w:t>
      </w:r>
      <w:r w:rsidR="00D12123">
        <w:t xml:space="preserve"> at a large public</w:t>
      </w:r>
      <w:r w:rsidR="00EA75E2">
        <w:t xml:space="preserve"> research</w:t>
      </w:r>
      <w:r w:rsidR="00D12123">
        <w:t xml:space="preserve"> institution</w:t>
      </w:r>
      <w:r w:rsidRPr="00A6722F">
        <w:t xml:space="preserve">. Drawing on methods of </w:t>
      </w:r>
      <w:r w:rsidR="00F21428">
        <w:t>blue-sky</w:t>
      </w:r>
      <w:r w:rsidRPr="00A6722F">
        <w:t xml:space="preserve"> thinking and strategic foresight, the Taskforce convened diverse campus stakeholders to </w:t>
      </w:r>
      <w:r w:rsidR="00B978A9">
        <w:t>explore</w:t>
      </w:r>
      <w:r w:rsidRPr="00A6722F">
        <w:t xml:space="preserve"> </w:t>
      </w:r>
      <w:r w:rsidR="00446502">
        <w:t>“</w:t>
      </w:r>
      <w:r w:rsidR="00F21428">
        <w:t>blue-sky</w:t>
      </w:r>
      <w:r w:rsidR="00446502">
        <w:t>” ideas on the future of AI in university systems</w:t>
      </w:r>
      <w:r w:rsidRPr="00A6722F">
        <w:t xml:space="preserve">. Through a mixed-methods analysis of workshop </w:t>
      </w:r>
      <w:r w:rsidR="005015B6">
        <w:t>outputs</w:t>
      </w:r>
      <w:r w:rsidRPr="00A6722F">
        <w:t xml:space="preserve">, this study </w:t>
      </w:r>
      <w:r w:rsidR="008443F4">
        <w:t xml:space="preserve">coalesced AI </w:t>
      </w:r>
      <w:r w:rsidR="006341ED">
        <w:t xml:space="preserve">innovation </w:t>
      </w:r>
      <w:r w:rsidR="00F36A00">
        <w:t xml:space="preserve">into themes and concepts to guide </w:t>
      </w:r>
      <w:r w:rsidR="00A914E0">
        <w:t>future university investment and decision making.</w:t>
      </w:r>
      <w:r w:rsidRPr="00A6722F">
        <w:t xml:space="preserve"> Findings illustrate how structured visioning </w:t>
      </w:r>
      <w:r w:rsidR="006F4564">
        <w:t>uncovered</w:t>
      </w:r>
      <w:r w:rsidRPr="00A6722F">
        <w:t xml:space="preserve"> not only opportunities for AI-enabled innovation but also critical perspectives on ethics, equity, and institutional identity. The paper concludes by </w:t>
      </w:r>
      <w:r w:rsidR="004A56C4">
        <w:t>showcasing the benefits of</w:t>
      </w:r>
      <w:r w:rsidRPr="00A6722F">
        <w:t xml:space="preserve"> collaborative, anticipatory planning and offers a model </w:t>
      </w:r>
      <w:r w:rsidR="00766387">
        <w:t xml:space="preserve">of AI transformation </w:t>
      </w:r>
      <w:r w:rsidRPr="00A6722F">
        <w:t xml:space="preserve">for other universities navigating the challenges </w:t>
      </w:r>
      <w:r w:rsidRPr="00A8447C">
        <w:t>and promise of AI-driven futures.</w:t>
      </w:r>
    </w:p>
    <w:p w14:paraId="6AAA02B8" w14:textId="432C59AA" w:rsidR="00BB7181" w:rsidRDefault="00531F8E">
      <w:pPr>
        <w:rPr>
          <w:b/>
          <w:bCs/>
        </w:rPr>
      </w:pPr>
      <w:r w:rsidRPr="00A8447C">
        <w:rPr>
          <w:b/>
          <w:bCs/>
        </w:rPr>
        <w:t xml:space="preserve">Keywords: </w:t>
      </w:r>
      <w:r w:rsidRPr="00A8447C">
        <w:t>Artificial intelligence</w:t>
      </w:r>
      <w:r w:rsidR="00195376">
        <w:t>;</w:t>
      </w:r>
      <w:r w:rsidRPr="00A8447C">
        <w:t xml:space="preserve"> </w:t>
      </w:r>
      <w:r w:rsidR="00A8447C" w:rsidRPr="00A8447C">
        <w:t>AI governance</w:t>
      </w:r>
      <w:r w:rsidR="00195376">
        <w:t>;</w:t>
      </w:r>
      <w:r w:rsidR="00A8447C">
        <w:t xml:space="preserve"> AI literacy</w:t>
      </w:r>
      <w:r w:rsidR="00195376">
        <w:t>;</w:t>
      </w:r>
      <w:r w:rsidR="00A8447C">
        <w:t xml:space="preserve"> technological transformation</w:t>
      </w:r>
      <w:r w:rsidR="00195376">
        <w:t>;</w:t>
      </w:r>
      <w:r w:rsidR="00A8447C">
        <w:t xml:space="preserve"> stakeholder engagement</w:t>
      </w:r>
      <w:r w:rsidR="00195376">
        <w:t>;</w:t>
      </w:r>
      <w:r w:rsidR="00A8447C">
        <w:t xml:space="preserve"> shared strategic vision</w:t>
      </w:r>
      <w:r w:rsidR="00195376">
        <w:t>;</w:t>
      </w:r>
      <w:r w:rsidR="00A8447C">
        <w:t xml:space="preserve"> AI factory</w:t>
      </w:r>
      <w:r w:rsidR="00195376">
        <w:t>;</w:t>
      </w:r>
      <w:r w:rsidR="00BB7181">
        <w:rPr>
          <w:b/>
          <w:bCs/>
        </w:rPr>
        <w:br w:type="page"/>
      </w:r>
    </w:p>
    <w:p w14:paraId="134FD1B9" w14:textId="5A041BC4" w:rsidR="00A6722F" w:rsidRPr="00A6722F" w:rsidRDefault="00E037F1" w:rsidP="00A6722F">
      <w:pPr>
        <w:rPr>
          <w:b/>
          <w:bCs/>
        </w:rPr>
      </w:pPr>
      <w:r>
        <w:rPr>
          <w:b/>
          <w:bCs/>
        </w:rPr>
        <w:lastRenderedPageBreak/>
        <w:t xml:space="preserve">1. </w:t>
      </w:r>
      <w:r w:rsidR="00A6722F" w:rsidRPr="00A6722F">
        <w:rPr>
          <w:b/>
          <w:bCs/>
        </w:rPr>
        <w:t>Introduction</w:t>
      </w:r>
    </w:p>
    <w:p w14:paraId="782D61B2" w14:textId="61E03CCB" w:rsidR="00A6722F" w:rsidRPr="00A6722F" w:rsidRDefault="00A6722F" w:rsidP="001F764B">
      <w:pPr>
        <w:spacing w:line="480" w:lineRule="auto"/>
        <w:ind w:firstLine="720"/>
      </w:pPr>
      <w:r w:rsidRPr="00A6722F">
        <w:t xml:space="preserve">Artificial intelligence (AI) stands at the forefront of technological transformation, fueling ongoing debates and </w:t>
      </w:r>
      <w:r w:rsidR="004C6E12">
        <w:t>innovation</w:t>
      </w:r>
      <w:r w:rsidRPr="00A6722F">
        <w:t xml:space="preserve"> across multiple domains of </w:t>
      </w:r>
      <w:r w:rsidR="00D703C4">
        <w:t>society</w:t>
      </w:r>
      <w:r w:rsidRPr="00A6722F">
        <w:t xml:space="preserve">. Nowhere is this transformation more </w:t>
      </w:r>
      <w:r w:rsidR="004919CF">
        <w:t>prevalent</w:t>
      </w:r>
      <w:r w:rsidR="002512A4">
        <w:t xml:space="preserve">, </w:t>
      </w:r>
      <w:r w:rsidRPr="00A6722F">
        <w:t>or more urgently debated</w:t>
      </w:r>
      <w:r w:rsidR="002512A4">
        <w:t xml:space="preserve">, </w:t>
      </w:r>
      <w:r w:rsidRPr="00A6722F">
        <w:t xml:space="preserve">than in higher education. Universities confront both the promise and the peril of AI, as large language models, machine learning, and automation technologies </w:t>
      </w:r>
      <w:r w:rsidR="00206ED3">
        <w:t>become</w:t>
      </w:r>
      <w:r w:rsidR="00493E5A">
        <w:t xml:space="preserve"> a research focus as well as</w:t>
      </w:r>
      <w:r w:rsidR="00206ED3">
        <w:t xml:space="preserve"> an active tool in</w:t>
      </w:r>
      <w:r w:rsidRPr="00A6722F">
        <w:t xml:space="preserve"> research collaboration, curriculum design</w:t>
      </w:r>
      <w:r w:rsidR="00F60652">
        <w:t xml:space="preserve"> and content</w:t>
      </w:r>
      <w:r w:rsidRPr="00A6722F">
        <w:t xml:space="preserve">, student support, </w:t>
      </w:r>
      <w:r w:rsidR="00E5428D">
        <w:t xml:space="preserve">assistive technologies, </w:t>
      </w:r>
      <w:r w:rsidRPr="00A6722F">
        <w:t>campus operations, and outreach (Holmes</w:t>
      </w:r>
      <w:r w:rsidR="00932543">
        <w:t xml:space="preserve"> et al</w:t>
      </w:r>
      <w:r w:rsidR="00D433E7">
        <w:t>.</w:t>
      </w:r>
      <w:r w:rsidRPr="00A6722F">
        <w:t>, 2019; Zawacki-Richter</w:t>
      </w:r>
      <w:r w:rsidR="00D433E7">
        <w:t xml:space="preserve"> et al., </w:t>
      </w:r>
      <w:r w:rsidRPr="00A6722F">
        <w:t xml:space="preserve">2019; Selwyn, 2019). Visionary commentators posit that AI </w:t>
      </w:r>
      <w:r w:rsidR="00BE33D8">
        <w:t xml:space="preserve">has </w:t>
      </w:r>
      <w:r w:rsidRPr="00A6722F">
        <w:t xml:space="preserve">fundamentally </w:t>
      </w:r>
      <w:r w:rsidR="00D87F86">
        <w:t>changed</w:t>
      </w:r>
      <w:r w:rsidRPr="00A6722F">
        <w:t xml:space="preserve"> what it means to teach, to discover, and to administer the modern university (Williamson &amp; Piattoeva, 2023; UNESCO, 2021). Yet, the </w:t>
      </w:r>
      <w:r w:rsidR="00F8519B">
        <w:t>university</w:t>
      </w:r>
      <w:r w:rsidRPr="00A6722F">
        <w:t xml:space="preserve"> sector also faces</w:t>
      </w:r>
      <w:r w:rsidR="0098245C">
        <w:t xml:space="preserve"> challenges </w:t>
      </w:r>
      <w:r w:rsidR="009F7DA9">
        <w:t>as it addresses</w:t>
      </w:r>
      <w:r w:rsidRPr="00A6722F">
        <w:t xml:space="preserve"> skepticism, </w:t>
      </w:r>
      <w:r w:rsidR="00F8519B">
        <w:t xml:space="preserve">student and employer expectations, </w:t>
      </w:r>
      <w:r w:rsidRPr="00A6722F">
        <w:t xml:space="preserve">questions surrounding ethics, </w:t>
      </w:r>
      <w:r w:rsidR="00F8519B">
        <w:t xml:space="preserve">AI </w:t>
      </w:r>
      <w:r w:rsidRPr="00A6722F">
        <w:t xml:space="preserve">governance, and the </w:t>
      </w:r>
      <w:r w:rsidR="00F8519B">
        <w:t>pace of technology change</w:t>
      </w:r>
      <w:r w:rsidRPr="00A6722F">
        <w:t xml:space="preserve"> (</w:t>
      </w:r>
      <w:r w:rsidR="001554B8" w:rsidRPr="00A6722F">
        <w:t>Lang, 2023</w:t>
      </w:r>
      <w:r w:rsidR="001554B8">
        <w:t xml:space="preserve">; </w:t>
      </w:r>
      <w:r w:rsidRPr="00A6722F">
        <w:t>Selwyn, 2019).</w:t>
      </w:r>
      <w:r w:rsidR="008C7092">
        <w:t xml:space="preserve"> </w:t>
      </w:r>
      <w:r w:rsidR="00557D95">
        <w:t>In addition, employers believe higher education should provide AI education</w:t>
      </w:r>
      <w:r w:rsidR="002D77FC">
        <w:t>, teach AI skills, and students should have AI experience prior to graduation</w:t>
      </w:r>
      <w:r w:rsidR="002573F2">
        <w:t>.</w:t>
      </w:r>
      <w:r w:rsidR="00BB00EA">
        <w:t xml:space="preserve"> </w:t>
      </w:r>
      <w:r w:rsidR="002573F2">
        <w:t xml:space="preserve">It </w:t>
      </w:r>
      <w:r w:rsidR="00CB2C5A">
        <w:t xml:space="preserve">has been </w:t>
      </w:r>
      <w:r w:rsidR="00BB00EA">
        <w:t>noted they prefer job candidates with these skills</w:t>
      </w:r>
      <w:r w:rsidR="00495E78">
        <w:t xml:space="preserve"> even if they have less experience, over a more experienced candidate with no AI skills or education</w:t>
      </w:r>
      <w:r w:rsidR="002D77FC">
        <w:t xml:space="preserve"> (</w:t>
      </w:r>
      <w:r w:rsidR="00C35221">
        <w:t>2024 Work Trend Index Annual Report).</w:t>
      </w:r>
    </w:p>
    <w:p w14:paraId="18A56CA8" w14:textId="4A9A71FC" w:rsidR="00A6722F" w:rsidRDefault="00A6722F" w:rsidP="001F764B">
      <w:pPr>
        <w:spacing w:line="480" w:lineRule="auto"/>
        <w:ind w:firstLine="720"/>
      </w:pPr>
      <w:r w:rsidRPr="00A6722F">
        <w:t xml:space="preserve">Current literature and practice </w:t>
      </w:r>
      <w:r w:rsidR="00EC11B1">
        <w:t>indicate</w:t>
      </w:r>
      <w:r w:rsidRPr="00A6722F">
        <w:t xml:space="preserve"> an accelerating</w:t>
      </w:r>
      <w:r w:rsidR="00F2371B">
        <w:t xml:space="preserve">, </w:t>
      </w:r>
      <w:r w:rsidRPr="00A6722F">
        <w:t>if uneven</w:t>
      </w:r>
      <w:r w:rsidR="00F2371B">
        <w:t xml:space="preserve">, </w:t>
      </w:r>
      <w:r w:rsidRPr="00A6722F">
        <w:t>adoption of AI tools and platforms (EDUCAUSE, 2023; UNESCO, 2021). Universities have begun to introduce adaptive assessment, automated grading, and generative text technologies; faculty and students experiment with AI-enhanced research design and digital learning assistants (</w:t>
      </w:r>
      <w:r w:rsidR="001F764B" w:rsidRPr="00A6722F">
        <w:t>Dwivedi et al., 2023</w:t>
      </w:r>
      <w:r w:rsidR="001F764B">
        <w:t xml:space="preserve">; </w:t>
      </w:r>
      <w:r w:rsidRPr="00A6722F">
        <w:t>Luckin et al., 2016). At flagship institutions, enterprise initiatives seek to catalyze transformation through investments in AI infrastructure, data governance</w:t>
      </w:r>
      <w:r w:rsidR="005865CE">
        <w:t xml:space="preserve"> and data driven decision making</w:t>
      </w:r>
      <w:r w:rsidRPr="00A6722F">
        <w:t>, and workforce reskilling (</w:t>
      </w:r>
      <w:r w:rsidR="009D24E1">
        <w:t xml:space="preserve">Mariam et al., 2024; </w:t>
      </w:r>
      <w:r w:rsidR="009D24E1" w:rsidRPr="00A6722F">
        <w:t>Raffaghelli</w:t>
      </w:r>
      <w:r w:rsidR="009D24E1">
        <w:t xml:space="preserve"> et. al.</w:t>
      </w:r>
      <w:r w:rsidR="009D24E1" w:rsidRPr="00A6722F">
        <w:t>, 2022</w:t>
      </w:r>
      <w:r w:rsidR="009D24E1">
        <w:t xml:space="preserve">; </w:t>
      </w:r>
      <w:r w:rsidRPr="00A6722F">
        <w:t>Baker</w:t>
      </w:r>
      <w:r w:rsidR="00D433E7">
        <w:t xml:space="preserve"> et al.</w:t>
      </w:r>
      <w:r w:rsidRPr="00A6722F">
        <w:t xml:space="preserve">, 2019). Yet, in many cases, implementation remains </w:t>
      </w:r>
      <w:r w:rsidR="00DA48AC">
        <w:t>incidental</w:t>
      </w:r>
      <w:r w:rsidRPr="00A6722F">
        <w:t xml:space="preserve"> or driven by the availability of commercial tools rather than by </w:t>
      </w:r>
      <w:r w:rsidRPr="00A6722F">
        <w:lastRenderedPageBreak/>
        <w:t>shared strategic vision (Raffaghelli et al., 2022; Zawacki-Richter et al., 2019).</w:t>
      </w:r>
      <w:r w:rsidR="00947CFC">
        <w:t xml:space="preserve"> </w:t>
      </w:r>
      <w:r w:rsidRPr="00A6722F">
        <w:t>Amid this wave of innovation, urgent questions have emerged in both the scholarly literature and sector-wide discourse</w:t>
      </w:r>
      <w:r w:rsidR="003733B0">
        <w:t xml:space="preserve"> (</w:t>
      </w:r>
      <w:r w:rsidR="005D4B1C">
        <w:t>Zawacki-Ric</w:t>
      </w:r>
      <w:r w:rsidR="00BA1D45">
        <w:t xml:space="preserve">hter et al., 2024; </w:t>
      </w:r>
      <w:r w:rsidR="003733B0">
        <w:t>Bates et al., 202</w:t>
      </w:r>
      <w:r w:rsidR="005D4B1C">
        <w:t>0; Zawacki-Richter et al., 2019)</w:t>
      </w:r>
      <w:r w:rsidRPr="00A6722F">
        <w:t xml:space="preserve">. How can academic institutions move beyond incremental adoption to leverage AI for systemic change in educational missions? What roles can universities play in cultivating not just technical AI skills, but also a critical and ethical </w:t>
      </w:r>
      <w:r w:rsidR="000C00D9">
        <w:t>awareness</w:t>
      </w:r>
      <w:r w:rsidR="00580A33">
        <w:t xml:space="preserve"> of AI literacy</w:t>
      </w:r>
      <w:r w:rsidR="0039745B">
        <w:t xml:space="preserve"> (Southworth et al., </w:t>
      </w:r>
      <w:r w:rsidR="00BD195B">
        <w:t>2023)</w:t>
      </w:r>
      <w:r w:rsidR="003B0AAC">
        <w:t>? How do institutions balance the dynamic rate of AI development</w:t>
      </w:r>
      <w:r w:rsidR="00102FB5">
        <w:t xml:space="preserve"> </w:t>
      </w:r>
      <w:r w:rsidR="00A078F4">
        <w:t>and available</w:t>
      </w:r>
      <w:r w:rsidR="003B0AAC">
        <w:t xml:space="preserve"> resources</w:t>
      </w:r>
      <w:r w:rsidR="00504CF6">
        <w:t xml:space="preserve"> (Tarisayi, </w:t>
      </w:r>
      <w:r w:rsidR="00187286">
        <w:t>2024)</w:t>
      </w:r>
      <w:r w:rsidR="00102FB5">
        <w:t>?</w:t>
      </w:r>
      <w:r w:rsidRPr="00A6722F">
        <w:t xml:space="preserve"> </w:t>
      </w:r>
    </w:p>
    <w:p w14:paraId="64F73643" w14:textId="555DDADD" w:rsidR="00BF1B7A" w:rsidRPr="00BF1B7A" w:rsidRDefault="00BF1B7A" w:rsidP="00DC1E5C">
      <w:pPr>
        <w:spacing w:line="480" w:lineRule="auto"/>
        <w:ind w:firstLine="720"/>
      </w:pPr>
      <w:r w:rsidRPr="00BF1B7A">
        <w:t>The imperative for integrating AI literacy across higher education has grown steadily in recent years, spurred by the increasing ubiquity of AI in society and the workforce (</w:t>
      </w:r>
      <w:r w:rsidR="00DC1E5C">
        <w:t xml:space="preserve">Pandy et al., 2022; </w:t>
      </w:r>
      <w:r w:rsidRPr="00BF1B7A">
        <w:t>Long &amp; Magerko, 2020). Scholars have pointed out that preparing students to be successful digital citizens and future professionals demands a cross-disciplinary understanding of AI</w:t>
      </w:r>
      <w:r w:rsidR="00C734C9">
        <w:t xml:space="preserve">, </w:t>
      </w:r>
      <w:r w:rsidRPr="00BF1B7A">
        <w:t>not just its technical underpinnings, but also its societal ramifications, ethical considerations, and real-world applications (</w:t>
      </w:r>
      <w:r w:rsidR="008A5AC3">
        <w:t xml:space="preserve">Southworth et al., 2023; </w:t>
      </w:r>
      <w:r w:rsidR="008A5AC3" w:rsidRPr="00BF1B7A">
        <w:t xml:space="preserve">Markauskaite </w:t>
      </w:r>
      <w:r w:rsidR="008A5AC3">
        <w:t>et al.</w:t>
      </w:r>
      <w:r w:rsidR="008A5AC3" w:rsidRPr="00BF1B7A">
        <w:t>, 2022</w:t>
      </w:r>
      <w:r w:rsidR="008A5AC3">
        <w:t xml:space="preserve">; </w:t>
      </w:r>
      <w:r w:rsidRPr="00BF1B7A">
        <w:t xml:space="preserve">Touretzky et al., 2019). Many academic studies now argue that AI literacy </w:t>
      </w:r>
      <w:r w:rsidR="0050321A">
        <w:t>is a</w:t>
      </w:r>
      <w:r w:rsidRPr="00BF1B7A">
        <w:t xml:space="preserve"> core twenty-first-century skill, relevant not only for those pursuing STEM careers but for students across all </w:t>
      </w:r>
      <w:r w:rsidR="0050321A">
        <w:t>disciplines</w:t>
      </w:r>
      <w:r w:rsidRPr="00BF1B7A">
        <w:t xml:space="preserve"> (</w:t>
      </w:r>
      <w:r w:rsidR="003000A0">
        <w:t>Kong et al., 2025;</w:t>
      </w:r>
      <w:r w:rsidR="008A5AC3">
        <w:t xml:space="preserve"> </w:t>
      </w:r>
      <w:r w:rsidR="008A5AC3" w:rsidRPr="00BF1B7A">
        <w:t>Ng et al., 2023</w:t>
      </w:r>
      <w:r w:rsidR="008A5AC3">
        <w:t>;</w:t>
      </w:r>
      <w:r w:rsidR="003000A0">
        <w:t xml:space="preserve"> </w:t>
      </w:r>
      <w:r w:rsidRPr="00BF1B7A">
        <w:t>Luckin et al., 20</w:t>
      </w:r>
      <w:r w:rsidR="00696C4D">
        <w:t>16</w:t>
      </w:r>
      <w:r w:rsidRPr="00BF1B7A">
        <w:t>). In response, educational research has increasingly advocated for “AI Across the Curriculum” models designed to infuse AI concepts and practices throughout the academic spectrum (</w:t>
      </w:r>
      <w:r w:rsidR="00696C4D">
        <w:t xml:space="preserve">Abassi et al., 2025; Southworth et al., 2023; </w:t>
      </w:r>
      <w:r w:rsidRPr="00BF1B7A">
        <w:t>Webb et al., 2020; Zimmermann-Niefield et al., 2019). Such approaches call for pedagogical innovation, including project-based learning, scenario-driven exploration, and interdisciplinary faculty collaborations to ensure that all students, regardless of background, have access to foundational and advanced AI competencies (</w:t>
      </w:r>
      <w:r w:rsidR="00850893" w:rsidRPr="00BF1B7A">
        <w:t>Williams et al., 202</w:t>
      </w:r>
      <w:r w:rsidR="00850893">
        <w:t xml:space="preserve">3; </w:t>
      </w:r>
      <w:r w:rsidRPr="00BF1B7A">
        <w:t xml:space="preserve">Lee et al., 2021). Critically, these models also advance the notion that AI literacy is key not only to future career success but also to fostering social responsibility and critical </w:t>
      </w:r>
      <w:r w:rsidRPr="00BF1B7A">
        <w:lastRenderedPageBreak/>
        <w:t>thought about the impact of new technologies</w:t>
      </w:r>
      <w:r w:rsidR="0012225E">
        <w:t xml:space="preserve"> (Zawacki-Richter et al., 2024; Bates et al., 2020; Zawacki-Richter et al., 2019)</w:t>
      </w:r>
      <w:r w:rsidRPr="00BF1B7A">
        <w:t>.</w:t>
      </w:r>
    </w:p>
    <w:p w14:paraId="2782335C" w14:textId="728933C0" w:rsidR="00345660" w:rsidRDefault="00BF1B7A" w:rsidP="00FA496F">
      <w:pPr>
        <w:spacing w:line="480" w:lineRule="auto"/>
        <w:ind w:firstLine="720"/>
      </w:pPr>
      <w:r w:rsidRPr="00BF1B7A">
        <w:t>The University of Florida</w:t>
      </w:r>
      <w:r w:rsidR="00662E15">
        <w:t xml:space="preserve"> (UF)</w:t>
      </w:r>
      <w:r w:rsidRPr="00BF1B7A">
        <w:t xml:space="preserve"> has been at the forefront of this AI literacy movement, undertaking a comprehensive and intentional transformation of its undergraduate and graduate </w:t>
      </w:r>
      <w:r w:rsidR="00E505A9">
        <w:t>student exper</w:t>
      </w:r>
      <w:r w:rsidR="002A7B81">
        <w:t>ience</w:t>
      </w:r>
      <w:r w:rsidRPr="00BF1B7A">
        <w:t xml:space="preserve"> over multiple years. </w:t>
      </w:r>
      <w:r w:rsidR="00B3264C">
        <w:t xml:space="preserve">The effort by UF was recognized with the Tambellini Group’s </w:t>
      </w:r>
      <w:r w:rsidR="00E8582E">
        <w:t>I</w:t>
      </w:r>
      <w:r w:rsidR="00B3264C">
        <w:t>naugural Future Campus Award</w:t>
      </w:r>
      <w:r w:rsidR="00DC23F6">
        <w:t xml:space="preserve"> for its groundbreaking university wide approach to integrating AI across its enterprise. </w:t>
      </w:r>
      <w:r w:rsidRPr="00BF1B7A">
        <w:t>Building on a strong history of campus-wide investments</w:t>
      </w:r>
      <w:r w:rsidR="00980A3D">
        <w:t xml:space="preserve">, </w:t>
      </w:r>
      <w:r w:rsidRPr="00BF1B7A">
        <w:t xml:space="preserve">including </w:t>
      </w:r>
      <w:r w:rsidR="00897002">
        <w:t xml:space="preserve">100+ </w:t>
      </w:r>
      <w:r w:rsidRPr="00BF1B7A">
        <w:t xml:space="preserve">new faculty hires </w:t>
      </w:r>
      <w:r w:rsidR="00B00B86">
        <w:t>across all colleges in</w:t>
      </w:r>
      <w:r w:rsidRPr="00BF1B7A">
        <w:t xml:space="preserve"> AI research areas, the establishment of a state-of-the-art AI supercomputing infrastructure</w:t>
      </w:r>
      <w:r w:rsidR="00196D62" w:rsidRPr="00947CFC">
        <w:t xml:space="preserve"> </w:t>
      </w:r>
      <w:r w:rsidR="00945ABB">
        <w:t xml:space="preserve">in </w:t>
      </w:r>
      <w:r w:rsidR="00196D62" w:rsidRPr="00947CFC">
        <w:t>partner</w:t>
      </w:r>
      <w:r w:rsidR="009345A1">
        <w:t>ship</w:t>
      </w:r>
      <w:r w:rsidR="00196D62" w:rsidRPr="00947CFC">
        <w:t xml:space="preserve"> with NVIDIA</w:t>
      </w:r>
      <w:r w:rsidRPr="00BF1B7A">
        <w:t>,</w:t>
      </w:r>
      <w:r w:rsidR="0041574C">
        <w:t xml:space="preserve"> </w:t>
      </w:r>
      <w:r w:rsidR="00ED46C9">
        <w:t xml:space="preserve">teaching over 200 AI courses to over 13,000 students yearly, </w:t>
      </w:r>
      <w:r w:rsidR="002A7B81">
        <w:t>AI career days</w:t>
      </w:r>
      <w:r w:rsidR="0041574C">
        <w:t xml:space="preserve"> and </w:t>
      </w:r>
      <w:r w:rsidR="002A7B81">
        <w:t xml:space="preserve">career coaches, </w:t>
      </w:r>
      <w:r w:rsidRPr="00BF1B7A">
        <w:t xml:space="preserve"> and interdisciplinary pilot programs to contextualize AI research and practice</w:t>
      </w:r>
      <w:r w:rsidR="00980A3D">
        <w:t xml:space="preserve">, </w:t>
      </w:r>
      <w:r w:rsidRPr="00BF1B7A">
        <w:t xml:space="preserve">the university’s leadership has progressively recognized the need to move beyond isolated AI initiatives. These foundational efforts laid the groundwork for the institution’s ambitious “AI Across the Curriculum” initiative, which seeks to infuse AI education into </w:t>
      </w:r>
      <w:r w:rsidR="00C8566C">
        <w:t xml:space="preserve">all colleges </w:t>
      </w:r>
      <w:r w:rsidR="00A161F3">
        <w:t xml:space="preserve">and to provide AI curriculum to all students </w:t>
      </w:r>
      <w:r w:rsidR="00C8566C">
        <w:t>across</w:t>
      </w:r>
      <w:r w:rsidRPr="00BF1B7A">
        <w:t xml:space="preserve"> the university’s </w:t>
      </w:r>
      <w:r w:rsidR="00A161F3">
        <w:t>campus</w:t>
      </w:r>
      <w:r w:rsidR="00A450F7" w:rsidRPr="00947CFC">
        <w:t xml:space="preserve"> (Southworth et</w:t>
      </w:r>
      <w:r w:rsidR="00C8566C">
        <w:t xml:space="preserve"> </w:t>
      </w:r>
      <w:r w:rsidR="00A450F7" w:rsidRPr="00947CFC">
        <w:t>al., 2023)</w:t>
      </w:r>
      <w:r w:rsidRPr="00BF1B7A">
        <w:t>. Guided by a robust AI literacy framework and supported by an accreditation-driven Quality Enhancement Plan, UF’s model is distinguished by its inclusivity and adaptability, providing a spectrum of opportunities for students at every level and in every discipline. Early results have been promising</w:t>
      </w:r>
      <w:r w:rsidR="00980A3D">
        <w:t xml:space="preserve"> with </w:t>
      </w:r>
      <w:r w:rsidRPr="00BF1B7A">
        <w:t>over 6,000 students hav</w:t>
      </w:r>
      <w:r w:rsidR="007842E8">
        <w:t>ing</w:t>
      </w:r>
      <w:r w:rsidRPr="00BF1B7A">
        <w:t xml:space="preserve"> participated in more than 200 AI-focused courses within the first year of full implementation, outpacing national benchmarks and generating widespread faculty engagement. By coupling interdisciplinary teaching with systematic assessment of student learning outcomes, UF has established a campus-wide model that not only answers the scholarly call for AI literacy and workforce preparation, but </w:t>
      </w:r>
      <w:r w:rsidR="003F4DDB">
        <w:t xml:space="preserve">the model </w:t>
      </w:r>
      <w:r w:rsidRPr="00BF1B7A">
        <w:t>also serves as a scalable template for other institutions seeking to meet the demands of a rapidly changing technological landscape (</w:t>
      </w:r>
      <w:r w:rsidR="00B00B86">
        <w:t xml:space="preserve">Southworth et al., 2023; </w:t>
      </w:r>
      <w:r w:rsidR="00642387">
        <w:t>Pandya et al., 2022; Wessels, 2020</w:t>
      </w:r>
      <w:r w:rsidRPr="00BF1B7A">
        <w:t xml:space="preserve">). </w:t>
      </w:r>
    </w:p>
    <w:p w14:paraId="4D3872B5" w14:textId="5D831094" w:rsidR="006925A7" w:rsidRPr="006925A7" w:rsidRDefault="006925A7" w:rsidP="006925A7">
      <w:pPr>
        <w:spacing w:line="480" w:lineRule="auto"/>
        <w:ind w:firstLine="720"/>
      </w:pPr>
      <w:r w:rsidRPr="006925A7">
        <w:lastRenderedPageBreak/>
        <w:t xml:space="preserve">Building on UF’s established education platform, the university’s AI research enterprise is expanding under a single, campus-wide umbrella through the Artificial Intelligence and Informatics Research Institute (AIIRI), which convenes cross-college teams to advance AI and informatics techniques and technologies with application to the biomedical and life sciences, engineered systems and the physical sciences, the social sciences, humanities, and education. Powered by HiPerGator, the fastest university-owned supercomputer in the nation, and supported by a data center equipped with 63 NVIDIA DGX B200 systems, and embedded NVIDIA expertise, UF researchers are deploying intense computation and novel algorithms across more than 800 active projects. Targeted investments, including </w:t>
      </w:r>
      <w:r w:rsidR="009609E2">
        <w:t xml:space="preserve">the aforementioned </w:t>
      </w:r>
      <w:r w:rsidRPr="006925A7">
        <w:t>100+ faculty hires with AI expertise, an AI Catalyst fund that seeded 20 projects, and more than $10 million in AI-specific grants, have accelerated discovery from genomics to agriculture, from robotics to human-centered health. An example of an AI research effort being carried out on the UF includes the NSF-funded iDigBio (</w:t>
      </w:r>
      <w:hyperlink r:id="rId29" w:tgtFrame="_blank" w:tooltip="Original URL: https://www.idigbio.org/. Click or tap if you trust this link." w:history="1">
        <w:r w:rsidRPr="006925A7">
          <w:rPr>
            <w:rStyle w:val="Hyperlink"/>
          </w:rPr>
          <w:t>https://www.idigbio.org</w:t>
        </w:r>
      </w:hyperlink>
      <w:r w:rsidRPr="006925A7">
        <w:t>) where researchers have (and are continuing to) digitize millions of biological specimens to make them available more broadly, enable automated analysis of these specimens, and allow for the development of a Biodiversity Chatbot where users can use a conversational interface to explore biological collections. Another example includes the ARPA-H funded award which aims to overcome the challenge that many rural areas have limited healthcare professionals by deploying mobile health units that can interface with GatorTron</w:t>
      </w:r>
      <w:r w:rsidRPr="006925A7">
        <w:rPr>
          <w:vertAlign w:val="superscript"/>
        </w:rPr>
        <w:t>TM </w:t>
      </w:r>
      <w:r w:rsidRPr="006925A7">
        <w:t xml:space="preserve">a AI clinical language model developed by UF and </w:t>
      </w:r>
      <w:r w:rsidR="00A54D3D" w:rsidRPr="006925A7">
        <w:t>N</w:t>
      </w:r>
      <w:r w:rsidR="00A54D3D">
        <w:t>VIDIA</w:t>
      </w:r>
      <w:r w:rsidR="00A54D3D" w:rsidRPr="006925A7">
        <w:t xml:space="preserve"> </w:t>
      </w:r>
      <w:r w:rsidRPr="006925A7">
        <w:t>(</w:t>
      </w:r>
      <w:hyperlink r:id="rId30" w:tgtFrame="_blank" w:tooltip="https://hobi.med.ufl.edu/2025/02/24/uf-researchers-awarded-funding-to-enhance-rural-healthcare-using-mobile-ai/" w:history="1">
        <w:r w:rsidRPr="006925A7">
          <w:rPr>
            <w:rStyle w:val="Hyperlink"/>
          </w:rPr>
          <w:t>https://hobi.med.ufl.edu/2025/02/24/uf-researchers-awarded-funding-to-enhance-rural-healthcare-using-mobile-ai/</w:t>
        </w:r>
      </w:hyperlink>
      <w:r w:rsidRPr="006925A7">
        <w:t>).  Furthermore, these research efforts deliberately intertwine with teaching through the “AI Across the Curriculum” initiative and more than 100 undergraduate AI scholars, creating a research–education feedback loop that builds capacity, advances scholarship, and translates innovations into practice across disciplines.</w:t>
      </w:r>
    </w:p>
    <w:p w14:paraId="2E74D31B" w14:textId="081FE339" w:rsidR="004F315F" w:rsidRDefault="006925A7" w:rsidP="0094399D">
      <w:pPr>
        <w:spacing w:line="480" w:lineRule="auto"/>
        <w:ind w:firstLine="720"/>
      </w:pPr>
      <w:r w:rsidRPr="006925A7">
        <w:lastRenderedPageBreak/>
        <w:t> </w:t>
      </w:r>
      <w:r w:rsidR="00122766">
        <w:t xml:space="preserve">Complementing this research engine is a broad institutional environment designed to operationalize AI end to end: </w:t>
      </w:r>
      <w:r w:rsidR="0094399D">
        <w:t xml:space="preserve">the newly built </w:t>
      </w:r>
      <w:r w:rsidR="00122766">
        <w:t xml:space="preserve">Malachowsky Hall provides a home for convergent AI advancements, UFIT Research Computing expands access to state-of-the-art infrastructure, and university initiatives extend AI into student support, assistive technologies, campus operations, and outreach. With AIIRI </w:t>
      </w:r>
      <w:r w:rsidR="00EC6DFA">
        <w:t>and the AI</w:t>
      </w:r>
      <w:r w:rsidR="00EC6DFA" w:rsidRPr="00EC6DFA">
        <w:rPr>
          <w:vertAlign w:val="superscript"/>
        </w:rPr>
        <w:t>2</w:t>
      </w:r>
      <w:r w:rsidR="00EC6DFA">
        <w:t xml:space="preserve"> Center </w:t>
      </w:r>
      <w:r w:rsidR="00122766">
        <w:t>providing unifying umbrella</w:t>
      </w:r>
      <w:r w:rsidR="00B46131">
        <w:t>s</w:t>
      </w:r>
      <w:r w:rsidR="00122766">
        <w:t xml:space="preserve"> and th</w:t>
      </w:r>
      <w:r w:rsidR="00B4327C">
        <w:t>e current</w:t>
      </w:r>
      <w:r w:rsidR="00122766">
        <w:t xml:space="preserve"> </w:t>
      </w:r>
      <w:r w:rsidR="00F21428">
        <w:t>Blue-sky</w:t>
      </w:r>
      <w:r w:rsidR="00122766">
        <w:t xml:space="preserve"> initiative inviting bold, institution-wide experimentation, UF is aligning governance, infrastructure, and talent to connect teaching, research, and operations; the aim is not incremental adoption but an integrated, university-scale model that modernizes core services, strengthens community partnerships, and equips the entire ecosystem to engage responsibly with AI at speed and at scale.</w:t>
      </w:r>
      <w:r w:rsidR="004F315F">
        <w:t xml:space="preserve"> </w:t>
      </w:r>
      <w:r w:rsidR="004F315F" w:rsidRPr="00BF1B7A">
        <w:t>The present initiative</w:t>
      </w:r>
      <w:r w:rsidR="004F315F">
        <w:t xml:space="preserve"> (and focus of this paper)</w:t>
      </w:r>
      <w:r w:rsidR="004F315F" w:rsidRPr="00BF1B7A">
        <w:t xml:space="preserve"> therefore emerges as both a progression of UF’s decade-long vision and an innovative example of how higher education can empower all students to become critical, ethical, and workforce-ready users of </w:t>
      </w:r>
      <w:r w:rsidR="004F315F">
        <w:t>AI</w:t>
      </w:r>
      <w:r w:rsidR="004F315F" w:rsidRPr="00BF1B7A">
        <w:t>.</w:t>
      </w:r>
    </w:p>
    <w:p w14:paraId="25506B9A" w14:textId="4D8D8D14" w:rsidR="00A6722F" w:rsidRPr="00A6722F" w:rsidRDefault="00A6722F" w:rsidP="00DD45D5">
      <w:pPr>
        <w:spacing w:line="480" w:lineRule="auto"/>
        <w:ind w:firstLine="720"/>
      </w:pPr>
      <w:r w:rsidRPr="00A6722F">
        <w:t xml:space="preserve">Against this dynamic backdrop, </w:t>
      </w:r>
      <w:r w:rsidR="0006578E">
        <w:t xml:space="preserve">UF undertook </w:t>
      </w:r>
      <w:r w:rsidR="00FD461E">
        <w:t>a</w:t>
      </w:r>
      <w:r w:rsidRPr="00A6722F">
        <w:t xml:space="preserve"> bold, institution-wide effort to proactively </w:t>
      </w:r>
      <w:r w:rsidR="00102FB5">
        <w:t>imagine</w:t>
      </w:r>
      <w:r w:rsidRPr="00A6722F">
        <w:t xml:space="preserve"> </w:t>
      </w:r>
      <w:r w:rsidR="00ED5219">
        <w:t>its AI future</w:t>
      </w:r>
      <w:r w:rsidRPr="00A6722F">
        <w:t>. In the fall of 2024, the university</w:t>
      </w:r>
      <w:r w:rsidR="00195965">
        <w:t xml:space="preserve">’s provost </w:t>
      </w:r>
      <w:r w:rsidRPr="00A6722F">
        <w:t xml:space="preserve">established the </w:t>
      </w:r>
      <w:r w:rsidRPr="00C90BF8">
        <w:rPr>
          <w:i/>
          <w:iCs/>
        </w:rPr>
        <w:t xml:space="preserve">AI </w:t>
      </w:r>
      <w:r w:rsidR="00F21428">
        <w:rPr>
          <w:i/>
          <w:iCs/>
        </w:rPr>
        <w:t>Blue-sky</w:t>
      </w:r>
      <w:r w:rsidRPr="00C90BF8">
        <w:rPr>
          <w:i/>
          <w:iCs/>
        </w:rPr>
        <w:t xml:space="preserve"> Visioning Taskforce</w:t>
      </w:r>
      <w:r w:rsidRPr="00A6722F">
        <w:t>, charged not with simply managing AI’s risks or policing conduct, but with asking an expansive question: What could be possible if a major public research university harnessed AI across teaching, research, campus operations, and public engagement</w:t>
      </w:r>
      <w:r w:rsidR="00C734C9">
        <w:t xml:space="preserve">, </w:t>
      </w:r>
      <w:r w:rsidRPr="00A6722F">
        <w:t>not over decades, but within the next five years?</w:t>
      </w:r>
      <w:r w:rsidR="005D6BC7">
        <w:t xml:space="preserve"> </w:t>
      </w:r>
      <w:r w:rsidRPr="00A6722F">
        <w:t xml:space="preserve">Drawing on methodologies from strategic foresight and participatory design, the Taskforce convened a comprehensive series of workshops intended to capture the ideas, aspirations, and concerns of the UF community. The intent was twofold: to foster an agile, future-oriented institutional culture that embraces both innovation and critical reflection, and to develop a practical, actionable roadmap that could guide the university in </w:t>
      </w:r>
      <w:r w:rsidR="001B2613">
        <w:t>pursuing an</w:t>
      </w:r>
      <w:r w:rsidRPr="00A6722F">
        <w:t xml:space="preserve"> AI strategy.</w:t>
      </w:r>
      <w:r w:rsidR="0085592F">
        <w:t xml:space="preserve"> The structure also allowed for anyone interested in contributing to be part of the process.</w:t>
      </w:r>
    </w:p>
    <w:p w14:paraId="72962A7C" w14:textId="2B267E0E" w:rsidR="00D94244" w:rsidRDefault="00A6722F" w:rsidP="00DD45D5">
      <w:pPr>
        <w:spacing w:line="480" w:lineRule="auto"/>
        <w:ind w:firstLine="720"/>
      </w:pPr>
      <w:r w:rsidRPr="00A6722F">
        <w:lastRenderedPageBreak/>
        <w:t>This paper document</w:t>
      </w:r>
      <w:r w:rsidR="00DE692B">
        <w:t>s</w:t>
      </w:r>
      <w:r w:rsidRPr="00A6722F">
        <w:t xml:space="preserve"> the process and</w:t>
      </w:r>
      <w:r w:rsidR="0052008D">
        <w:t xml:space="preserve"> synthesize</w:t>
      </w:r>
      <w:r w:rsidR="00DE692B">
        <w:t>s</w:t>
      </w:r>
      <w:r w:rsidRPr="00A6722F">
        <w:t xml:space="preserve"> outcomes of the </w:t>
      </w:r>
      <w:r w:rsidRPr="00AB16AD">
        <w:rPr>
          <w:i/>
          <w:iCs/>
        </w:rPr>
        <w:t xml:space="preserve">UF AI </w:t>
      </w:r>
      <w:r w:rsidR="00F21428">
        <w:rPr>
          <w:i/>
          <w:iCs/>
        </w:rPr>
        <w:t>Blue-</w:t>
      </w:r>
      <w:r w:rsidR="00390053">
        <w:rPr>
          <w:i/>
          <w:iCs/>
        </w:rPr>
        <w:t>S</w:t>
      </w:r>
      <w:r w:rsidR="00F21428">
        <w:rPr>
          <w:i/>
          <w:iCs/>
        </w:rPr>
        <w:t>ky</w:t>
      </w:r>
      <w:r w:rsidRPr="00AB16AD">
        <w:rPr>
          <w:i/>
          <w:iCs/>
        </w:rPr>
        <w:t xml:space="preserve"> Visioning Taskforce</w:t>
      </w:r>
      <w:r w:rsidRPr="00A6722F">
        <w:t xml:space="preserve"> within </w:t>
      </w:r>
      <w:r w:rsidR="005C3DDD">
        <w:t>a</w:t>
      </w:r>
      <w:r w:rsidRPr="00A6722F">
        <w:t xml:space="preserve"> wider landscape of AI in higher education. It analyzes how structured, collaborative visioning can </w:t>
      </w:r>
      <w:r w:rsidR="00DE692B">
        <w:t>uncover</w:t>
      </w:r>
      <w:r w:rsidRPr="00A6722F">
        <w:t xml:space="preserve"> actionable priorities, responsibly address ethical and social challenges, and translate diffuse enthusiasm or anxiety into clear institutional strategy. In doing so, it seeks to contribute to a growing body of scholarship and practice on AI governance, digital transformation, and participatory futures in the academy.</w:t>
      </w:r>
    </w:p>
    <w:p w14:paraId="258E03B3" w14:textId="71C7BFEE" w:rsidR="00A6722F" w:rsidRPr="00A6722F" w:rsidRDefault="00382E33" w:rsidP="00A6722F">
      <w:pPr>
        <w:rPr>
          <w:b/>
          <w:bCs/>
        </w:rPr>
      </w:pPr>
      <w:r>
        <w:rPr>
          <w:b/>
          <w:bCs/>
        </w:rPr>
        <w:t xml:space="preserve">1.1 </w:t>
      </w:r>
      <w:r w:rsidR="00F21428">
        <w:rPr>
          <w:b/>
          <w:bCs/>
        </w:rPr>
        <w:t>Blue-sky</w:t>
      </w:r>
      <w:r w:rsidR="00A6722F" w:rsidRPr="00A6722F">
        <w:rPr>
          <w:b/>
          <w:bCs/>
        </w:rPr>
        <w:t xml:space="preserve"> Thinking in Higher Education Strategy</w:t>
      </w:r>
    </w:p>
    <w:p w14:paraId="3A5F9A78" w14:textId="4A5CB2EF" w:rsidR="00A6722F" w:rsidRPr="00A6722F" w:rsidRDefault="00A6722F" w:rsidP="00DD45D5">
      <w:pPr>
        <w:spacing w:line="480" w:lineRule="auto"/>
        <w:ind w:firstLine="720"/>
      </w:pPr>
      <w:r w:rsidRPr="00A6722F">
        <w:t>Central to UF’s visioning process was the embrace of “</w:t>
      </w:r>
      <w:r w:rsidR="00F21428">
        <w:t>blue-sky</w:t>
      </w:r>
      <w:r w:rsidRPr="00A6722F">
        <w:t xml:space="preserve"> thinking”</w:t>
      </w:r>
      <w:r w:rsidR="008A4ADD">
        <w:t xml:space="preserve">, </w:t>
      </w:r>
      <w:r w:rsidRPr="00A6722F">
        <w:t>a strategic ideation method designed to generate creativ</w:t>
      </w:r>
      <w:r w:rsidR="008A4ADD">
        <w:t>e</w:t>
      </w:r>
      <w:r w:rsidRPr="00A6722F">
        <w:t xml:space="preserve"> possibilities</w:t>
      </w:r>
      <w:r w:rsidR="008A4ADD" w:rsidRPr="00A6722F">
        <w:t xml:space="preserve"> unconstrained</w:t>
      </w:r>
      <w:r w:rsidRPr="00A6722F">
        <w:t xml:space="preserve"> by present limitations (Roberts, 2017). </w:t>
      </w:r>
      <w:r w:rsidR="00F21428">
        <w:t>Blue-sky</w:t>
      </w:r>
      <w:r w:rsidRPr="00A6722F">
        <w:t xml:space="preserve"> thinking facilitates the exploration of transformative goals by encouraging participants to envision “what could be” rather than “what currently is,” drawing on collective creativity and broad stakeholder engagement (Childs &amp; McLeod, 2013). Within organizational innovation literature, </w:t>
      </w:r>
      <w:r w:rsidR="00F21428">
        <w:t>blue-sky</w:t>
      </w:r>
      <w:r w:rsidRPr="00A6722F">
        <w:t xml:space="preserve"> techniques are associated with scenario planning, design thinking, and foresight methodologies, serving as catalysts for </w:t>
      </w:r>
      <w:r w:rsidR="00AA7400">
        <w:t>audacious</w:t>
      </w:r>
      <w:r w:rsidRPr="00A6722F">
        <w:t xml:space="preserve"> innovation and institutional transformation (O’Connor &amp; Rice, 2013; van der Heijden, 2011).</w:t>
      </w:r>
      <w:r w:rsidR="00B00B86">
        <w:t xml:space="preserve"> </w:t>
      </w:r>
      <w:r w:rsidRPr="00A6722F">
        <w:t xml:space="preserve">In higher education, </w:t>
      </w:r>
      <w:r w:rsidR="00F21428">
        <w:t>blue-sky</w:t>
      </w:r>
      <w:r w:rsidRPr="00A6722F">
        <w:t xml:space="preserve"> thinking is increasingly recognized as essential for addressing “wicked” problems</w:t>
      </w:r>
      <w:r w:rsidR="00D56BA0">
        <w:t>:</w:t>
      </w:r>
      <w:r w:rsidR="002F40E9">
        <w:t xml:space="preserve"> </w:t>
      </w:r>
      <w:r w:rsidRPr="00A6722F">
        <w:t>complex multi-dimensional challenges that require cross-disciplinary collaboration and future-focused leadership (</w:t>
      </w:r>
      <w:r w:rsidR="00DD45D5" w:rsidRPr="00A6722F">
        <w:t>Venkatraman, 2019</w:t>
      </w:r>
      <w:r w:rsidR="00DD45D5">
        <w:t xml:space="preserve">; </w:t>
      </w:r>
      <w:r w:rsidRPr="00A6722F">
        <w:t>Gray</w:t>
      </w:r>
      <w:r w:rsidR="00F54F65">
        <w:t xml:space="preserve"> et al., 2010</w:t>
      </w:r>
      <w:r w:rsidRPr="00A6722F">
        <w:t xml:space="preserve">). Foresight processes rooted in </w:t>
      </w:r>
      <w:r w:rsidR="00F21428">
        <w:t>blue-sky</w:t>
      </w:r>
      <w:r w:rsidRPr="00A6722F">
        <w:t xml:space="preserve"> ideation have been used to inform digital transformation strategies, anticipate societal and technological disruptions, and shape future-oriented curricula (Parycek et al., 202</w:t>
      </w:r>
      <w:r w:rsidR="00F07C7B">
        <w:t>4</w:t>
      </w:r>
      <w:r w:rsidRPr="00A6722F">
        <w:t xml:space="preserve">). Recent scholarship also argues that truly inclusive </w:t>
      </w:r>
      <w:r w:rsidR="00F21428">
        <w:t>blue-sky</w:t>
      </w:r>
      <w:r w:rsidRPr="00A6722F">
        <w:t xml:space="preserve"> visioning</w:t>
      </w:r>
      <w:r w:rsidR="002F40E9">
        <w:t xml:space="preserve">, </w:t>
      </w:r>
      <w:r w:rsidRPr="00A6722F">
        <w:t>drawing in diverse campus voices</w:t>
      </w:r>
      <w:r w:rsidR="002F40E9">
        <w:t xml:space="preserve">, </w:t>
      </w:r>
      <w:r w:rsidRPr="00A6722F">
        <w:t>engenders both innovative ideas and a sense of shared ownership over institutional change (</w:t>
      </w:r>
      <w:r w:rsidR="00690DD3" w:rsidRPr="00A6722F">
        <w:t>Naylor et al., 201</w:t>
      </w:r>
      <w:r w:rsidR="00690DD3">
        <w:t xml:space="preserve">7; </w:t>
      </w:r>
      <w:r w:rsidRPr="00A6722F">
        <w:t>Childs &amp; McLeod, 2013).</w:t>
      </w:r>
      <w:r w:rsidR="00B00B86">
        <w:t xml:space="preserve"> </w:t>
      </w:r>
      <w:r w:rsidRPr="00A6722F">
        <w:t xml:space="preserve">In convening its AI </w:t>
      </w:r>
      <w:r w:rsidR="00F21428">
        <w:t>Blue-sky</w:t>
      </w:r>
      <w:r w:rsidRPr="00A6722F">
        <w:t xml:space="preserve"> Visioning Taskforce, UF joined a growing movement among leading universities to apply structured, imaginative thinking to complex strategic questions, </w:t>
      </w:r>
      <w:r w:rsidR="00071F6D">
        <w:lastRenderedPageBreak/>
        <w:t xml:space="preserve">capitalizing on </w:t>
      </w:r>
      <w:r w:rsidR="00CE306D">
        <w:t xml:space="preserve">the diverse intellect of the community to </w:t>
      </w:r>
      <w:r w:rsidR="009D6507">
        <w:t>envision</w:t>
      </w:r>
      <w:r w:rsidRPr="00A6722F">
        <w:t xml:space="preserve"> institutional agility in the face of rapid AI-driven change.</w:t>
      </w:r>
    </w:p>
    <w:p w14:paraId="34DDAC79" w14:textId="77777777" w:rsidR="00A6722F" w:rsidRPr="00A6722F" w:rsidRDefault="00A6722F" w:rsidP="00A6722F"/>
    <w:p w14:paraId="55F5FAAA" w14:textId="504FF7BE" w:rsidR="00C74625" w:rsidRPr="00C74625" w:rsidRDefault="00382E33" w:rsidP="00C74625">
      <w:pPr>
        <w:rPr>
          <w:b/>
          <w:bCs/>
        </w:rPr>
      </w:pPr>
      <w:r>
        <w:rPr>
          <w:b/>
          <w:bCs/>
        </w:rPr>
        <w:t xml:space="preserve">2. </w:t>
      </w:r>
      <w:r w:rsidR="00C74625" w:rsidRPr="00C74625">
        <w:rPr>
          <w:b/>
          <w:bCs/>
        </w:rPr>
        <w:t>Methods</w:t>
      </w:r>
    </w:p>
    <w:p w14:paraId="589E24C5" w14:textId="0E99822D" w:rsidR="00C74625" w:rsidRPr="00C74625" w:rsidRDefault="00382E33" w:rsidP="00C74625">
      <w:pPr>
        <w:rPr>
          <w:b/>
          <w:bCs/>
        </w:rPr>
      </w:pPr>
      <w:r>
        <w:rPr>
          <w:b/>
          <w:bCs/>
        </w:rPr>
        <w:t xml:space="preserve">2.1 </w:t>
      </w:r>
      <w:r w:rsidR="00C74625" w:rsidRPr="00C74625">
        <w:rPr>
          <w:b/>
          <w:bCs/>
        </w:rPr>
        <w:t>Taskforce Formation and Intent</w:t>
      </w:r>
    </w:p>
    <w:p w14:paraId="45CA45D4" w14:textId="1B560BC0" w:rsidR="009D6507" w:rsidRDefault="00C74625" w:rsidP="00AB16AD">
      <w:pPr>
        <w:spacing w:line="480" w:lineRule="auto"/>
        <w:ind w:firstLine="720"/>
      </w:pPr>
      <w:r w:rsidRPr="00C74625">
        <w:t xml:space="preserve">Recognizing the rapidly expanding influence of </w:t>
      </w:r>
      <w:r w:rsidR="00B00B86">
        <w:t>AI</w:t>
      </w:r>
      <w:r w:rsidRPr="00C74625">
        <w:t xml:space="preserve"> in higher education, </w:t>
      </w:r>
      <w:r w:rsidR="00B00B86">
        <w:t>U</w:t>
      </w:r>
      <w:r w:rsidRPr="00C74625">
        <w:t xml:space="preserve">F established the </w:t>
      </w:r>
      <w:r w:rsidRPr="00AB16AD">
        <w:rPr>
          <w:i/>
          <w:iCs/>
        </w:rPr>
        <w:t xml:space="preserve">AI </w:t>
      </w:r>
      <w:r w:rsidR="00F21428">
        <w:rPr>
          <w:i/>
          <w:iCs/>
        </w:rPr>
        <w:t>Blue-</w:t>
      </w:r>
      <w:r w:rsidR="00883452">
        <w:rPr>
          <w:i/>
          <w:iCs/>
        </w:rPr>
        <w:t>S</w:t>
      </w:r>
      <w:r w:rsidR="00F21428">
        <w:rPr>
          <w:i/>
          <w:iCs/>
        </w:rPr>
        <w:t>ky</w:t>
      </w:r>
      <w:r w:rsidRPr="00AB16AD">
        <w:rPr>
          <w:i/>
          <w:iCs/>
        </w:rPr>
        <w:t xml:space="preserve"> Visioning Taskforce</w:t>
      </w:r>
      <w:r w:rsidRPr="00C74625">
        <w:t xml:space="preserve"> in the fall of 2024. The Taskforce was charged with designing an open and highly participatory process to imagine the future of AI at the university over a five-year horizon. Taskforce leadership, drawn from faculty and administration, established a set of guiding values: inclusivity, creativity, and a commitment to thinking beyond conventional constraints</w:t>
      </w:r>
      <w:r w:rsidR="002E5A9D">
        <w:t xml:space="preserve">, </w:t>
      </w:r>
      <w:r w:rsidRPr="00C74625">
        <w:t>hallmarks of the “</w:t>
      </w:r>
      <w:r w:rsidR="00F21428">
        <w:t>blue-sky</w:t>
      </w:r>
      <w:r w:rsidRPr="00C74625">
        <w:t xml:space="preserve"> visioning” philosophy.</w:t>
      </w:r>
      <w:r w:rsidR="00666F24">
        <w:t xml:space="preserve"> </w:t>
      </w:r>
      <w:r w:rsidR="009D6507">
        <w:t xml:space="preserve">The Taskforce served as </w:t>
      </w:r>
      <w:r w:rsidR="00EC43A5">
        <w:t xml:space="preserve">review and oversight of the </w:t>
      </w:r>
      <w:r w:rsidR="00F21428">
        <w:t>blue-sky</w:t>
      </w:r>
      <w:r w:rsidR="00EC43A5">
        <w:t xml:space="preserve"> visioning process. </w:t>
      </w:r>
      <w:r w:rsidR="005D4845">
        <w:t xml:space="preserve">The two co-chairs of the </w:t>
      </w:r>
      <w:r w:rsidR="000F7A12">
        <w:t>T</w:t>
      </w:r>
      <w:r w:rsidR="005D4845">
        <w:t>askforce (</w:t>
      </w:r>
      <w:r w:rsidR="00666F24">
        <w:t xml:space="preserve">lead </w:t>
      </w:r>
      <w:r w:rsidR="005D4845">
        <w:t xml:space="preserve">authors Jane Southworth and Kati Migliaccio) </w:t>
      </w:r>
      <w:r w:rsidR="00B8184F" w:rsidRPr="00B8184F">
        <w:t>designed the workshop methodology, managed implementation, and facilitated all sessions, serving as the primary link between the Taskforce and the workshop process</w:t>
      </w:r>
      <w:r w:rsidR="006F3C3A">
        <w:t xml:space="preserve">. </w:t>
      </w:r>
    </w:p>
    <w:p w14:paraId="22908E37" w14:textId="58184082" w:rsidR="00433C88" w:rsidRPr="00C74625" w:rsidRDefault="00433C88" w:rsidP="00690DD3">
      <w:pPr>
        <w:spacing w:line="480" w:lineRule="auto"/>
        <w:ind w:firstLine="720"/>
      </w:pPr>
      <w:r w:rsidRPr="00C74625">
        <w:t>Throughout the process, ethical considerations were foregrounded in every discussion. Participants were repeatedly asked to reflect on issues of privacy, potential bias, accessibility, and unintended consequences</w:t>
      </w:r>
      <w:r w:rsidR="002E5A9D">
        <w:t xml:space="preserve">, </w:t>
      </w:r>
      <w:r w:rsidRPr="00C74625">
        <w:t>ensuring these themes became central to the set of recommendations distilled in the final report. This focus on ethics and governance reinforced the Taskforce’s commitment to responsible innovation and institutional accountability.</w:t>
      </w:r>
    </w:p>
    <w:p w14:paraId="78E27A34" w14:textId="723D85E5" w:rsidR="00C74625" w:rsidRPr="00C74625" w:rsidRDefault="00382E33" w:rsidP="00C74625">
      <w:pPr>
        <w:rPr>
          <w:b/>
          <w:bCs/>
        </w:rPr>
      </w:pPr>
      <w:r>
        <w:rPr>
          <w:b/>
          <w:bCs/>
        </w:rPr>
        <w:t xml:space="preserve">2.2 </w:t>
      </w:r>
      <w:r w:rsidR="00C74625" w:rsidRPr="00C74625">
        <w:rPr>
          <w:b/>
          <w:bCs/>
        </w:rPr>
        <w:t xml:space="preserve">The </w:t>
      </w:r>
      <w:r w:rsidR="00F21428">
        <w:rPr>
          <w:b/>
          <w:bCs/>
        </w:rPr>
        <w:t>Blue-</w:t>
      </w:r>
      <w:r w:rsidR="008703FD">
        <w:rPr>
          <w:b/>
          <w:bCs/>
        </w:rPr>
        <w:t>S</w:t>
      </w:r>
      <w:r w:rsidR="00F21428">
        <w:rPr>
          <w:b/>
          <w:bCs/>
        </w:rPr>
        <w:t>ky</w:t>
      </w:r>
      <w:r w:rsidR="00C74625" w:rsidRPr="00C74625">
        <w:rPr>
          <w:b/>
          <w:bCs/>
        </w:rPr>
        <w:t xml:space="preserve"> Visioning Process</w:t>
      </w:r>
    </w:p>
    <w:p w14:paraId="36E803EC" w14:textId="034298CB" w:rsidR="00A22BBE" w:rsidRPr="00C74625" w:rsidRDefault="00C74625" w:rsidP="006D03D5">
      <w:pPr>
        <w:spacing w:line="480" w:lineRule="auto"/>
        <w:ind w:firstLine="720"/>
      </w:pPr>
      <w:r w:rsidRPr="00C74625">
        <w:t xml:space="preserve">The </w:t>
      </w:r>
      <w:r w:rsidR="009A7C40">
        <w:t>T</w:t>
      </w:r>
      <w:r w:rsidRPr="00C74625">
        <w:t>askforce’s planning began with a deliberate outreach phase, inviting a broad cross-section of university stakeholders</w:t>
      </w:r>
      <w:r w:rsidR="003544E2">
        <w:t xml:space="preserve"> - </w:t>
      </w:r>
      <w:r w:rsidRPr="00C74625">
        <w:t>faculty, professional staff, undergraduates, graduate students, administrators, and strategically selected external partners from industry and the public sector</w:t>
      </w:r>
      <w:r w:rsidR="002F40E9">
        <w:t xml:space="preserve">, </w:t>
      </w:r>
      <w:r w:rsidRPr="00C74625">
        <w:t xml:space="preserve">to participate in a sequence of themed workshops. </w:t>
      </w:r>
      <w:r w:rsidR="006F3C3A">
        <w:t xml:space="preserve">Workshops also included </w:t>
      </w:r>
      <w:r w:rsidR="00D37D8A">
        <w:t xml:space="preserve">high-school aged </w:t>
      </w:r>
      <w:r w:rsidR="006F3C3A">
        <w:t xml:space="preserve">youth </w:t>
      </w:r>
      <w:r w:rsidR="006F3C3A">
        <w:lastRenderedPageBreak/>
        <w:t xml:space="preserve">from </w:t>
      </w:r>
      <w:r w:rsidR="002424F3">
        <w:t>two schools and from UF</w:t>
      </w:r>
      <w:r w:rsidR="00B00B86">
        <w:t>’s</w:t>
      </w:r>
      <w:r w:rsidR="00A4176B">
        <w:t xml:space="preserve"> </w:t>
      </w:r>
      <w:r w:rsidR="002424F3">
        <w:t>I</w:t>
      </w:r>
      <w:r w:rsidR="00A4176B">
        <w:t xml:space="preserve">nstitute of </w:t>
      </w:r>
      <w:r w:rsidR="002424F3">
        <w:t>F</w:t>
      </w:r>
      <w:r w:rsidR="00A4176B">
        <w:t xml:space="preserve">ood and </w:t>
      </w:r>
      <w:r w:rsidR="002424F3">
        <w:t>A</w:t>
      </w:r>
      <w:r w:rsidR="00A4176B">
        <w:t xml:space="preserve">gricultural </w:t>
      </w:r>
      <w:r w:rsidR="002424F3">
        <w:t>S</w:t>
      </w:r>
      <w:r w:rsidR="00A4176B">
        <w:t>ciences (IFAS)</w:t>
      </w:r>
      <w:r w:rsidR="002424F3">
        <w:t xml:space="preserve"> Extension 4-H. </w:t>
      </w:r>
      <w:r w:rsidRPr="00C74625">
        <w:t xml:space="preserve">These workshops served as the </w:t>
      </w:r>
      <w:r w:rsidR="002424F3">
        <w:t>mechanism</w:t>
      </w:r>
      <w:r w:rsidRPr="00C74625">
        <w:t xml:space="preserve"> for gathering ideas, reactions, and aspirations related to AI within the UF environment.</w:t>
      </w:r>
      <w:r w:rsidR="009F4C88">
        <w:t xml:space="preserve"> </w:t>
      </w:r>
      <w:r w:rsidR="00A22BBE">
        <w:t xml:space="preserve">An open invitation was sent out across the university to register for a workshop. Workshops were limited to </w:t>
      </w:r>
      <w:r w:rsidR="00085766">
        <w:t xml:space="preserve">25 participants each to facilitate the activities. Workshops were held in person at </w:t>
      </w:r>
      <w:r w:rsidR="003544E2">
        <w:t>various</w:t>
      </w:r>
      <w:r w:rsidR="00085766">
        <w:t xml:space="preserve"> locations on campus. High school workshops were held at their </w:t>
      </w:r>
      <w:r w:rsidR="00457DD6">
        <w:t xml:space="preserve">respective </w:t>
      </w:r>
      <w:r w:rsidR="00085766">
        <w:t>location</w:t>
      </w:r>
      <w:r w:rsidR="00855347">
        <w:t>s</w:t>
      </w:r>
      <w:r w:rsidR="00085766">
        <w:t>. The 4-H workshop was held online</w:t>
      </w:r>
      <w:r w:rsidR="00613FE2">
        <w:t xml:space="preserve"> with coordination of 4-H Extension faculty.</w:t>
      </w:r>
    </w:p>
    <w:p w14:paraId="3BF1CA91" w14:textId="2D1AE8B1" w:rsidR="00041CBD" w:rsidRPr="00041CBD" w:rsidRDefault="00C74625" w:rsidP="00797F5E">
      <w:pPr>
        <w:spacing w:line="480" w:lineRule="auto"/>
        <w:ind w:firstLine="720"/>
      </w:pPr>
      <w:r w:rsidRPr="00C74625">
        <w:t>Workshops opened with a framing from Taskforce leaders, emphasizing the goal of envisioning without inhibition</w:t>
      </w:r>
      <w:r w:rsidR="002F40E9">
        <w:t xml:space="preserve">, </w:t>
      </w:r>
      <w:r w:rsidRPr="00C74625">
        <w:t>participants were encouraged to propose ambitious or unconventional ideas for how AI might enhance the university’s mission</w:t>
      </w:r>
      <w:r w:rsidR="008B2EBA">
        <w:t xml:space="preserve"> (Ørngreen and Levinsen, 2017)</w:t>
      </w:r>
      <w:r w:rsidRPr="00C74625">
        <w:t>. This was crucial to the methodology: the expectation was to think expansively, imagining not just incremental change but transformational possibilities.</w:t>
      </w:r>
      <w:r w:rsidR="009F4C88">
        <w:t xml:space="preserve"> </w:t>
      </w:r>
      <w:r w:rsidR="00613FE2">
        <w:t>The Taskforce co-chairs</w:t>
      </w:r>
      <w:r w:rsidRPr="00C74625">
        <w:t xml:space="preserve"> guided participants through a series of</w:t>
      </w:r>
      <w:r w:rsidR="00613FE2">
        <w:t xml:space="preserve"> three</w:t>
      </w:r>
      <w:r w:rsidRPr="00C74625">
        <w:t xml:space="preserve"> structured brainstorming exercises</w:t>
      </w:r>
      <w:r w:rsidR="00D94244">
        <w:t xml:space="preserve"> (Scannell, 2012)</w:t>
      </w:r>
      <w:r w:rsidRPr="00C74625">
        <w:t xml:space="preserve">. </w:t>
      </w:r>
      <w:r w:rsidR="003742AA">
        <w:t xml:space="preserve">The first activity was an “AI Superpower” icebreaker. Participants were encouraged to think outside of reality and prompted with “If AI could give you any superpower, what would it be?”. This activity </w:t>
      </w:r>
      <w:r w:rsidR="00FC501E">
        <w:t xml:space="preserve">was </w:t>
      </w:r>
      <w:r w:rsidR="001F1BCF">
        <w:t>conducted to start people thinking more broadly</w:t>
      </w:r>
      <w:r w:rsidR="004476AF">
        <w:t xml:space="preserve"> with fewer boundaries</w:t>
      </w:r>
      <w:r w:rsidR="001F1BCF">
        <w:t>. The second activity was</w:t>
      </w:r>
      <w:r w:rsidR="00554CBF">
        <w:t xml:space="preserve"> “Bad Ideas Welcome”. In this activity, creativity was further </w:t>
      </w:r>
      <w:r w:rsidR="005768BD">
        <w:t>encouraged</w:t>
      </w:r>
      <w:r w:rsidR="00554CBF">
        <w:t xml:space="preserve"> by asking teams of </w:t>
      </w:r>
      <w:r w:rsidR="00EF4C6D">
        <w:t>participants</w:t>
      </w:r>
      <w:r w:rsidR="00554CBF">
        <w:t xml:space="preserve"> to generate their most outrageous, impractical, bad ideas related to ignoring or misusing AI in higher education. </w:t>
      </w:r>
      <w:r w:rsidR="00EF4C6D">
        <w:t>The first two activities provided mental exercise to prepare participants for the main activity. The third activity was to conduct “Structured Brainstorming and Idea Expansion.”</w:t>
      </w:r>
      <w:r w:rsidR="007246BE">
        <w:t xml:space="preserve"> This activity included four steps</w:t>
      </w:r>
      <w:r w:rsidR="00671B6A">
        <w:t>. Step 1:</w:t>
      </w:r>
      <w:r w:rsidR="007246BE">
        <w:t xml:space="preserve"> </w:t>
      </w:r>
      <w:r w:rsidR="007246BE" w:rsidRPr="007246BE">
        <w:t xml:space="preserve">Each participant generated a single idea in response to the prompt: "Shaping the Future of AI-Driven Education: How do we create the tools, resources, and institutional structures necessary to meet the fast-evolving AI needs and expectations of faculty, staff, students, and external partners?" </w:t>
      </w:r>
      <w:r w:rsidR="00671B6A">
        <w:t xml:space="preserve">Step 2: </w:t>
      </w:r>
      <w:r w:rsidR="00041CBD" w:rsidRPr="00041CBD">
        <w:t xml:space="preserve">Ideas were written on large sticky notes and displayed around the room. Participants rotated through the ideas, adding positive </w:t>
      </w:r>
      <w:r w:rsidR="00041CBD" w:rsidRPr="00041CBD">
        <w:lastRenderedPageBreak/>
        <w:t>comments, suggestions, and expansions to create a rich, collaborative discussion</w:t>
      </w:r>
      <w:r w:rsidR="00041CBD">
        <w:t xml:space="preserve">. Step 3: </w:t>
      </w:r>
      <w:r w:rsidR="00041CBD" w:rsidRPr="00041CBD">
        <w:t>Participants synthesized their original idea with the group’s input and presented the refined concept to the room</w:t>
      </w:r>
      <w:r w:rsidR="00041CBD">
        <w:t xml:space="preserve">. Step 4: </w:t>
      </w:r>
      <w:r w:rsidR="00D0682E" w:rsidRPr="00D0682E">
        <w:t>To close, participants used a star voting system to identify their favorite ideas based on excitement and potential impact. This step provided preliminary insights into which ideas resonated most with the group</w:t>
      </w:r>
      <w:r w:rsidR="00516EC7">
        <w:t xml:space="preserve">. </w:t>
      </w:r>
      <w:r w:rsidR="00516EC7" w:rsidRPr="00C74625">
        <w:t xml:space="preserve">At the conclusion of each workshop, </w:t>
      </w:r>
      <w:r w:rsidR="00516EC7">
        <w:t xml:space="preserve">the </w:t>
      </w:r>
      <w:r w:rsidR="00516EC7" w:rsidRPr="00C74625">
        <w:t xml:space="preserve">facilitators guided groups toward identifying themes and priorities. Consensus-building techniques, such as open discussion and informal voting, helped determine which ideas resonated most strongly or deserved further exploration. </w:t>
      </w:r>
      <w:r w:rsidR="00091264" w:rsidRPr="00091264">
        <w:t>Ironically</w:t>
      </w:r>
      <w:r w:rsidR="00091264">
        <w:t xml:space="preserve">, </w:t>
      </w:r>
      <w:r w:rsidR="00091264" w:rsidRPr="00091264">
        <w:t>and by design</w:t>
      </w:r>
      <w:r w:rsidR="00091264">
        <w:t xml:space="preserve">, </w:t>
      </w:r>
      <w:r w:rsidR="00091264" w:rsidRPr="00091264">
        <w:t>using deliberately low-tech, pen-and-paper facilitation for an AI-centered conversation created space for deeper reflection, lively collaboration, and a sense of play that heightened both engagement and the quality of ideas.</w:t>
      </w:r>
    </w:p>
    <w:p w14:paraId="09D9B3A4" w14:textId="155F6952" w:rsidR="003D5964" w:rsidRDefault="00C71238" w:rsidP="00D42869">
      <w:pPr>
        <w:spacing w:line="480" w:lineRule="auto"/>
        <w:ind w:firstLine="720"/>
      </w:pPr>
      <w:r w:rsidRPr="00C71238">
        <w:t>In addition to the in-person workshops, an online version of the session was developed to provide equitable access for participants on satellite campuses or those otherwise unable to attend in person. This online workshop, hosted in a secure Canvas environment, was widely advertised across the university through targeted email communications with clear instructions for registration. While this format focused exclusively on the third activity</w:t>
      </w:r>
      <w:r w:rsidR="007819B1">
        <w:t xml:space="preserve">, </w:t>
      </w:r>
      <w:r w:rsidRPr="00C71238">
        <w:t>Structured Brainstorming and Idea Expansion</w:t>
      </w:r>
      <w:r w:rsidR="007819B1">
        <w:t xml:space="preserve">, </w:t>
      </w:r>
      <w:r w:rsidRPr="00C71238">
        <w:t xml:space="preserve">it closely mirrored the collaborative intent of the in-person experience. Participants were guided sequentially through each step inside Canvas: first generating an individual idea in response to the central prompt, then reviewing and enriching their peers’ posted ideas, and ultimately synthesizing their concept with the collective input before final voting. Each step was open for 48 hours, and progress to the next was gated, ensuring that all participants moved through the activities together and had sufficient time for thoughtful engagement. Over the course of approximately one week, participants contributed their ideas, commentary, and feedback; the asynchronous nature of the discussion boards encouraged more expansive, reflective written dialogue and a dynamic exchange of perspectives. While the online environment </w:t>
      </w:r>
      <w:r w:rsidRPr="00C71238">
        <w:lastRenderedPageBreak/>
        <w:t>lacked face-to-face interaction, it offered unique advantages: participants often took the opportunity to articulate complex thoughts in greater detail, resulting in robust discourse that rivaled, and in some cases exceeded, the depth of live workshop discussion</w:t>
      </w:r>
      <w:r w:rsidR="001A2F65">
        <w:t>s</w:t>
      </w:r>
      <w:r w:rsidRPr="00C71238">
        <w:t>. All responses and insights collected through Canvas were synthesized uniformly with those from the in-person sessions, and no distinction was made between the formats in terms of the subsequent analysis or reporting. As a result, the online workshop not only broadened participation but also enriched the overall data set, fully preserving the collaborative spirit and innovative objectives of the initiative.</w:t>
      </w:r>
    </w:p>
    <w:p w14:paraId="78F1020E" w14:textId="576BB4C3" w:rsidR="00C74625" w:rsidRPr="00C74625" w:rsidRDefault="00382E33" w:rsidP="00C74625">
      <w:pPr>
        <w:rPr>
          <w:b/>
          <w:bCs/>
        </w:rPr>
      </w:pPr>
      <w:r w:rsidRPr="00A2098C">
        <w:rPr>
          <w:b/>
          <w:bCs/>
        </w:rPr>
        <w:t xml:space="preserve">2.3 </w:t>
      </w:r>
      <w:r w:rsidR="00C74625" w:rsidRPr="00A2098C">
        <w:rPr>
          <w:b/>
          <w:bCs/>
        </w:rPr>
        <w:t>Cross-Pollination and Iterative Synthesis</w:t>
      </w:r>
    </w:p>
    <w:p w14:paraId="50A7D33A" w14:textId="0C393B56" w:rsidR="00C74625" w:rsidRDefault="00E12A32" w:rsidP="003D5964">
      <w:pPr>
        <w:spacing w:line="480" w:lineRule="auto"/>
        <w:ind w:firstLine="720"/>
      </w:pPr>
      <w:r>
        <w:t>After all workshops had been completed</w:t>
      </w:r>
      <w:r w:rsidR="00C74625" w:rsidRPr="00C74625">
        <w:t>, the Taskforce held</w:t>
      </w:r>
      <w:r>
        <w:t xml:space="preserve"> a</w:t>
      </w:r>
      <w:r w:rsidR="00713CD5">
        <w:t>n in</w:t>
      </w:r>
      <w:r w:rsidR="000906F7">
        <w:t>-person,</w:t>
      </w:r>
      <w:r w:rsidR="00C74625" w:rsidRPr="00C74625">
        <w:t xml:space="preserve"> synthesis meeting, during which</w:t>
      </w:r>
      <w:r w:rsidR="008B0579">
        <w:t xml:space="preserve"> </w:t>
      </w:r>
      <w:r w:rsidR="00EE1EC8">
        <w:t>members</w:t>
      </w:r>
      <w:r w:rsidR="008B0579">
        <w:t xml:space="preserve"> </w:t>
      </w:r>
      <w:r w:rsidR="00C74625" w:rsidRPr="00C74625">
        <w:t xml:space="preserve">thematically coded the full corpus of workshop notes. This </w:t>
      </w:r>
      <w:r w:rsidR="008347DF">
        <w:t xml:space="preserve">human </w:t>
      </w:r>
      <w:r w:rsidR="00675F9B">
        <w:t xml:space="preserve">centric, </w:t>
      </w:r>
      <w:r w:rsidR="00C74625" w:rsidRPr="00C74625">
        <w:t>qualitative analysis involved grouping ideas by areas of impact (such as teaching, research, or campus operations), types of AI application (for instance, personalized learning systems versus operational digital twins), and underlying values or risks (like privacy, bias, or accessibility).</w:t>
      </w:r>
      <w:r w:rsidR="008A2207">
        <w:t xml:space="preserve"> </w:t>
      </w:r>
      <w:r w:rsidR="00C74625" w:rsidRPr="00C74625">
        <w:t xml:space="preserve">Input was also sought from external stakeholders, including industry partners who could validate both the visionary nature and pragmatic feasibility of the group’s proposals. These external reviews surfaced additional recommendations, such as the necessity of campus-wide </w:t>
      </w:r>
      <w:r w:rsidR="008347DF">
        <w:t>AI infrastructure and data management planning</w:t>
      </w:r>
      <w:r w:rsidR="00C74625" w:rsidRPr="00C74625">
        <w:t xml:space="preserve"> and the importance of preparing for evolving regulatory standards and governance frameworks.</w:t>
      </w:r>
    </w:p>
    <w:p w14:paraId="15E25D0A" w14:textId="46DB3783" w:rsidR="000D64A6" w:rsidRDefault="000D64A6" w:rsidP="008D5368">
      <w:pPr>
        <w:spacing w:line="480" w:lineRule="auto"/>
        <w:ind w:firstLine="720"/>
      </w:pPr>
      <w:r>
        <w:t>In parallel with the Taskforce’s qualitative, human-led coding of workshop output, we conducted an AI-assisted text analysis using OpenAI’s ChatGPT (GPT</w:t>
      </w:r>
      <w:r>
        <w:rPr>
          <w:rFonts w:ascii="Cambria Math" w:hAnsi="Cambria Math" w:cs="Cambria Math"/>
        </w:rPr>
        <w:t>‑</w:t>
      </w:r>
      <w:r>
        <w:t>4 model</w:t>
      </w:r>
      <w:r w:rsidR="005B1C87">
        <w:t>)</w:t>
      </w:r>
      <w:r>
        <w:t xml:space="preserve"> available via the restricted UF Navigator web interface. All free</w:t>
      </w:r>
      <w:r>
        <w:rPr>
          <w:rFonts w:ascii="Cambria Math" w:hAnsi="Cambria Math" w:cs="Cambria Math"/>
        </w:rPr>
        <w:t>‑</w:t>
      </w:r>
      <w:r>
        <w:t>text inputs from the in</w:t>
      </w:r>
      <w:r>
        <w:rPr>
          <w:rFonts w:ascii="Cambria Math" w:hAnsi="Cambria Math" w:cs="Cambria Math"/>
        </w:rPr>
        <w:t>‑</w:t>
      </w:r>
      <w:r>
        <w:t>person and online workshops were aggregated, de</w:t>
      </w:r>
      <w:r>
        <w:rPr>
          <w:rFonts w:ascii="Cambria Math" w:hAnsi="Cambria Math" w:cs="Cambria Math"/>
        </w:rPr>
        <w:t>‑</w:t>
      </w:r>
      <w:r>
        <w:t xml:space="preserve">identified to remove any personally identifying details, and lightly cleaned for spelling artifacts and obvious duplicates. Because the compiled </w:t>
      </w:r>
      <w:r w:rsidR="008D5368">
        <w:t>data</w:t>
      </w:r>
      <w:r>
        <w:t xml:space="preserve"> exceeded a single-paste limit, the data were analyzed in batches organized by session and by topical grouping; for each </w:t>
      </w:r>
      <w:r>
        <w:lastRenderedPageBreak/>
        <w:t>batch we retained the full prompt, the model setting (GPT</w:t>
      </w:r>
      <w:r>
        <w:rPr>
          <w:rFonts w:ascii="Cambria Math" w:hAnsi="Cambria Math" w:cs="Cambria Math"/>
        </w:rPr>
        <w:t>‑</w:t>
      </w:r>
      <w:r>
        <w:t>4), timestamp, and output to create an audit trail.</w:t>
      </w:r>
    </w:p>
    <w:p w14:paraId="3ADC3398" w14:textId="3C6A4701" w:rsidR="000D64A6" w:rsidRDefault="000D64A6" w:rsidP="008D5368">
      <w:pPr>
        <w:spacing w:line="480" w:lineRule="auto"/>
        <w:ind w:firstLine="720"/>
      </w:pPr>
      <w:r>
        <w:t>The AI workflow comprised three steps. First, key</w:t>
      </w:r>
      <w:r>
        <w:rPr>
          <w:rFonts w:ascii="Cambria Math" w:hAnsi="Cambria Math" w:cs="Cambria Math"/>
        </w:rPr>
        <w:t>‑</w:t>
      </w:r>
      <w:r>
        <w:t>phrase extraction and frequency estimation: GPT</w:t>
      </w:r>
      <w:r>
        <w:rPr>
          <w:rFonts w:ascii="Cambria Math" w:hAnsi="Cambria Math" w:cs="Cambria Math"/>
        </w:rPr>
        <w:t>‑</w:t>
      </w:r>
      <w:r>
        <w:t>4 was instructed to extract salient uni/bi/tri</w:t>
      </w:r>
      <w:r>
        <w:rPr>
          <w:rFonts w:ascii="Cambria Math" w:hAnsi="Cambria Math" w:cs="Cambria Math"/>
        </w:rPr>
        <w:t>‑</w:t>
      </w:r>
      <w:r>
        <w:t>grams (1</w:t>
      </w:r>
      <w:r>
        <w:rPr>
          <w:rFonts w:ascii="Aptos" w:hAnsi="Aptos" w:cs="Aptos"/>
        </w:rPr>
        <w:t>–</w:t>
      </w:r>
      <w:r>
        <w:t>5 words), return a deduplicated list of phrases with counts, and normalize close variants (e.g., plural/singular, tense, common synonyms) to reduce double counting. Second, thematic clustering: using the deduplicated phrase lists and representative quotations from the same batch, GPT</w:t>
      </w:r>
      <w:r>
        <w:rPr>
          <w:rFonts w:ascii="Cambria Math" w:hAnsi="Cambria Math" w:cs="Cambria Math"/>
        </w:rPr>
        <w:t>‑</w:t>
      </w:r>
      <w:r>
        <w:t>4 grouped items into higher</w:t>
      </w:r>
      <w:r>
        <w:rPr>
          <w:rFonts w:ascii="Cambria Math" w:hAnsi="Cambria Math" w:cs="Cambria Math"/>
        </w:rPr>
        <w:t>‑</w:t>
      </w:r>
      <w:r>
        <w:t>order themes and subthemes, generated short, descriptive labels, and provided a 1–2 sentence rationale for each cluster. Third, convergence/outlier detection: the model was asked to identify themes appearing across multiple sessions (convergences) and to flag low</w:t>
      </w:r>
      <w:r>
        <w:rPr>
          <w:rFonts w:ascii="Cambria Math" w:hAnsi="Cambria Math" w:cs="Cambria Math"/>
        </w:rPr>
        <w:t>‑</w:t>
      </w:r>
      <w:r>
        <w:t>prevalence but novel or risk</w:t>
      </w:r>
      <w:r>
        <w:rPr>
          <w:rFonts w:ascii="Cambria Math" w:hAnsi="Cambria Math" w:cs="Cambria Math"/>
        </w:rPr>
        <w:t>‑</w:t>
      </w:r>
      <w:r>
        <w:t>related ideas (outliers). We repeated each step across all batches, then ran a final pass on a consolidated, cross</w:t>
      </w:r>
      <w:r>
        <w:rPr>
          <w:rFonts w:ascii="Cambria Math" w:hAnsi="Cambria Math" w:cs="Cambria Math"/>
        </w:rPr>
        <w:t>‑</w:t>
      </w:r>
      <w:r>
        <w:t>batch summary so the model could reconcile overlapping clusters and refine theme labels for campus</w:t>
      </w:r>
      <w:r>
        <w:rPr>
          <w:rFonts w:ascii="Cambria Math" w:hAnsi="Cambria Math" w:cs="Cambria Math"/>
        </w:rPr>
        <w:t>‑</w:t>
      </w:r>
      <w:r>
        <w:t>wide coherence.</w:t>
      </w:r>
    </w:p>
    <w:p w14:paraId="1709F245" w14:textId="5733190E" w:rsidR="000D64A6" w:rsidRDefault="000D64A6" w:rsidP="007D5F97">
      <w:pPr>
        <w:spacing w:line="480" w:lineRule="auto"/>
        <w:ind w:firstLine="720"/>
      </w:pPr>
      <w:r>
        <w:t>To enhance reliability, we implemented three safeguards. We re</w:t>
      </w:r>
      <w:r>
        <w:rPr>
          <w:rFonts w:ascii="Cambria Math" w:hAnsi="Cambria Math" w:cs="Cambria Math"/>
        </w:rPr>
        <w:t>‑</w:t>
      </w:r>
      <w:r w:rsidR="00565D81">
        <w:t>executed</w:t>
      </w:r>
      <w:r w:rsidR="009D24A3">
        <w:t xml:space="preserve"> </w:t>
      </w:r>
      <w:r>
        <w:t xml:space="preserve">prompts on a random subset of batches to check stability of key themes and counts, reconciled minor wording differences, and retained any ideas that appeared in either </w:t>
      </w:r>
      <w:r w:rsidR="00565D81">
        <w:t>output response</w:t>
      </w:r>
      <w:r>
        <w:t>. We compared every AI</w:t>
      </w:r>
      <w:r>
        <w:rPr>
          <w:rFonts w:ascii="Cambria Math" w:hAnsi="Cambria Math" w:cs="Cambria Math"/>
        </w:rPr>
        <w:t>‑</w:t>
      </w:r>
      <w:r>
        <w:t xml:space="preserve">generated theme list against the corresponding raw notes, verifying that emergent risks and minority proposals were preserved and that examples accurately reflected participant language. Finally, we triangulated AI outputs with the human codebook developed by the research team; discrepancies led to either relabeling (to improve clarity) or to the addition of an explicit “emerging/contested” tag. </w:t>
      </w:r>
    </w:p>
    <w:p w14:paraId="132F2232" w14:textId="10BF82A6" w:rsidR="005C1D8C" w:rsidRDefault="000D64A6" w:rsidP="007D5F97">
      <w:pPr>
        <w:spacing w:line="480" w:lineRule="auto"/>
        <w:ind w:firstLine="720"/>
      </w:pPr>
      <w:r>
        <w:t>No protected records were included; all data were de</w:t>
      </w:r>
      <w:r>
        <w:rPr>
          <w:rFonts w:ascii="Cambria Math" w:hAnsi="Cambria Math" w:cs="Cambria Math"/>
        </w:rPr>
        <w:t>‑</w:t>
      </w:r>
      <w:r>
        <w:t xml:space="preserve">identified before upload. Given that large language models can be sensitive to prompt phrasing, we mitigated variability by </w:t>
      </w:r>
      <w:r>
        <w:lastRenderedPageBreak/>
        <w:t>standardizing prompts across batches, documenting version/model selection (GPT</w:t>
      </w:r>
      <w:r>
        <w:rPr>
          <w:rFonts w:ascii="Cambria Math" w:hAnsi="Cambria Math" w:cs="Cambria Math"/>
        </w:rPr>
        <w:t>‑</w:t>
      </w:r>
      <w:r>
        <w:t>4), and retaining a full analysis log. Limitations of this approach include possible sensitivity to input ordering and the model</w:t>
      </w:r>
      <w:r>
        <w:rPr>
          <w:rFonts w:ascii="Aptos" w:hAnsi="Aptos" w:cs="Aptos"/>
        </w:rPr>
        <w:t>’</w:t>
      </w:r>
      <w:r>
        <w:t>s heuristic estimation of phrase frequencies; these were addressed through duplicate runs, manual spot checks, and cross</w:t>
      </w:r>
      <w:r>
        <w:rPr>
          <w:rFonts w:ascii="Cambria Math" w:hAnsi="Cambria Math" w:cs="Cambria Math"/>
        </w:rPr>
        <w:t>‑</w:t>
      </w:r>
      <w:r>
        <w:t>validation with the human-coded analysis.</w:t>
      </w:r>
    </w:p>
    <w:p w14:paraId="515F34C2" w14:textId="08C615C9" w:rsidR="00C74625" w:rsidRPr="00D8466B" w:rsidRDefault="00243F6D" w:rsidP="002B501D">
      <w:pPr>
        <w:spacing w:line="480" w:lineRule="auto"/>
        <w:ind w:firstLine="720"/>
      </w:pPr>
      <w:r w:rsidRPr="00243F6D">
        <w:t>The outcome of this AI-enabled analysis was a detailed summary of dominant themes and topic clusters, which was compiled into a comprehensive listing and provided to the Taskforce for further study. For each major synthesis topic, representative ideas and their sources were included to preserve the diversity of perspectives and concrete suggestions. At the same time, the complete set of raw workshop outputs</w:t>
      </w:r>
      <w:r w:rsidR="00880345">
        <w:t xml:space="preserve"> </w:t>
      </w:r>
      <w:r w:rsidRPr="00243F6D">
        <w:t>was shared with Taskforce members to promote transparency and allow for in-depth review. This hybrid approach, combining AI-backed content analysis with human expert judgment, ensured that the strategic initiatives ultimately recommended by the Taskforce were grounded in a robust understanding of the campus community’s vision, challenges, and ambitions. The process thus exemplified the collaborative possibilities of leveraging AI for institutional change, while keeping human insight and deliberation firmly at the center of strategic decision-making.</w:t>
      </w:r>
      <w:r w:rsidRPr="00243F6D">
        <w:rPr>
          <w:vanish/>
          <w:highlight w:val="yellow"/>
        </w:rPr>
        <w:t>Top of Form</w:t>
      </w:r>
      <w:r w:rsidR="008A2207">
        <w:t xml:space="preserve"> </w:t>
      </w:r>
      <w:r w:rsidR="00E925A4" w:rsidRPr="00C74625">
        <w:t>The process concluded with the Taskforce synthesizing seven strategic initiatives</w:t>
      </w:r>
      <w:r w:rsidR="007510CE">
        <w:t xml:space="preserve"> (Table 1)</w:t>
      </w:r>
      <w:r w:rsidR="00E925A4" w:rsidRPr="00C74625">
        <w:t>, integrating input from all workshops and stakeholder consultations. These recommendations were shared back with the campus community, reinforcing the collaborative, iterative spirit of the entire visioning endeavor</w:t>
      </w:r>
      <w:r w:rsidR="00334699">
        <w:t xml:space="preserve"> (</w:t>
      </w:r>
      <w:r w:rsidR="00DB0F45">
        <w:t>Southworth</w:t>
      </w:r>
      <w:r w:rsidR="00334699">
        <w:t xml:space="preserve"> et al.</w:t>
      </w:r>
      <w:r w:rsidR="00DB0F45">
        <w:t>, 202</w:t>
      </w:r>
      <w:r w:rsidR="00BE26F5">
        <w:t>5</w:t>
      </w:r>
      <w:r w:rsidR="00DB0F45">
        <w:t>)</w:t>
      </w:r>
      <w:r w:rsidR="00E925A4" w:rsidRPr="00C74625">
        <w:t>.</w:t>
      </w:r>
    </w:p>
    <w:p w14:paraId="135D81CF" w14:textId="77777777" w:rsidR="00D7070D" w:rsidRDefault="00D7070D" w:rsidP="00EA77A9">
      <w:pPr>
        <w:rPr>
          <w:b/>
          <w:bCs/>
        </w:rPr>
      </w:pPr>
    </w:p>
    <w:p w14:paraId="5F7DEC57" w14:textId="31E0AD1A" w:rsidR="00C74625" w:rsidRPr="00EA77A9" w:rsidRDefault="00EA77A9" w:rsidP="00EA77A9">
      <w:pPr>
        <w:rPr>
          <w:b/>
          <w:bCs/>
        </w:rPr>
      </w:pPr>
      <w:r>
        <w:rPr>
          <w:b/>
          <w:bCs/>
        </w:rPr>
        <w:t xml:space="preserve">3. </w:t>
      </w:r>
      <w:r w:rsidR="00C74625" w:rsidRPr="00EA77A9">
        <w:rPr>
          <w:b/>
          <w:bCs/>
        </w:rPr>
        <w:t>Results</w:t>
      </w:r>
    </w:p>
    <w:p w14:paraId="34C6F048" w14:textId="65E4AAEE" w:rsidR="00DB0F45" w:rsidRDefault="00C74625" w:rsidP="00D7070D">
      <w:pPr>
        <w:spacing w:line="480" w:lineRule="auto"/>
        <w:ind w:firstLine="720"/>
      </w:pPr>
      <w:r w:rsidRPr="00C74625">
        <w:t xml:space="preserve">The </w:t>
      </w:r>
      <w:r w:rsidRPr="00267ACB">
        <w:rPr>
          <w:i/>
          <w:iCs/>
        </w:rPr>
        <w:t xml:space="preserve">AI </w:t>
      </w:r>
      <w:r w:rsidR="00F21428">
        <w:rPr>
          <w:i/>
          <w:iCs/>
        </w:rPr>
        <w:t>Blue-</w:t>
      </w:r>
      <w:r w:rsidR="001A36F1">
        <w:rPr>
          <w:i/>
          <w:iCs/>
        </w:rPr>
        <w:t>S</w:t>
      </w:r>
      <w:r w:rsidR="00F21428">
        <w:rPr>
          <w:i/>
          <w:iCs/>
        </w:rPr>
        <w:t>ky</w:t>
      </w:r>
      <w:r w:rsidRPr="00267ACB">
        <w:rPr>
          <w:i/>
          <w:iCs/>
        </w:rPr>
        <w:t xml:space="preserve"> Visioning Taskforce</w:t>
      </w:r>
      <w:r w:rsidRPr="00C74625">
        <w:t xml:space="preserve"> synthesized the insights and ideas generated through its extensive workshop series into a set of actionable recommendations</w:t>
      </w:r>
      <w:r w:rsidR="007510CE">
        <w:t xml:space="preserve"> (Table 1)</w:t>
      </w:r>
      <w:r w:rsidRPr="00C74625">
        <w:t xml:space="preserve">. These recommendations reflected both the community’s ambitious visions for AI in higher education and a sober recognition of the need for careful stewardship, inclusivity, and ethical accountability. They </w:t>
      </w:r>
    </w:p>
    <w:p w14:paraId="561252C6" w14:textId="4A2D6CC1" w:rsidR="00C74625" w:rsidRPr="00C74625" w:rsidRDefault="00C74625" w:rsidP="00C74625">
      <w:r w:rsidRPr="00C74625">
        <w:rPr>
          <w:b/>
          <w:bCs/>
        </w:rPr>
        <w:lastRenderedPageBreak/>
        <w:t xml:space="preserve">Table 1. Summary of Major AI Initiatives Recommended by the UF AI </w:t>
      </w:r>
      <w:r w:rsidR="00F21428">
        <w:rPr>
          <w:b/>
          <w:bCs/>
        </w:rPr>
        <w:t>Blue-</w:t>
      </w:r>
      <w:r w:rsidR="001A36F1">
        <w:rPr>
          <w:b/>
          <w:bCs/>
        </w:rPr>
        <w:t>S</w:t>
      </w:r>
      <w:r w:rsidR="00F21428">
        <w:rPr>
          <w:b/>
          <w:bCs/>
        </w:rPr>
        <w:t>ky</w:t>
      </w:r>
      <w:r w:rsidRPr="00C74625">
        <w:rPr>
          <w:b/>
          <w:bCs/>
        </w:rPr>
        <w:t xml:space="preserve"> Visioning Taskforce</w:t>
      </w:r>
    </w:p>
    <w:tbl>
      <w:tblPr>
        <w:tblW w:w="9690"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32"/>
        <w:gridCol w:w="2408"/>
        <w:gridCol w:w="4950"/>
      </w:tblGrid>
      <w:tr w:rsidR="007510CE" w:rsidRPr="00C74625" w14:paraId="561F9ABB" w14:textId="77777777" w:rsidTr="00985DDD">
        <w:trPr>
          <w:tblHeader/>
          <w:tblCellSpacing w:w="15" w:type="dxa"/>
        </w:trPr>
        <w:tc>
          <w:tcPr>
            <w:tcW w:w="2287"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17FE6B32" w14:textId="77777777" w:rsidR="007510CE" w:rsidRPr="00C74625" w:rsidRDefault="007510CE" w:rsidP="00C74625">
            <w:pPr>
              <w:rPr>
                <w:b/>
                <w:bCs/>
              </w:rPr>
            </w:pPr>
            <w:r w:rsidRPr="00C74625">
              <w:rPr>
                <w:b/>
                <w:bCs/>
              </w:rPr>
              <w:t>Thematic Area</w:t>
            </w:r>
          </w:p>
        </w:tc>
        <w:tc>
          <w:tcPr>
            <w:tcW w:w="2378"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16631AE8" w14:textId="77777777" w:rsidR="007510CE" w:rsidRPr="00C74625" w:rsidRDefault="007510CE" w:rsidP="00C74625">
            <w:pPr>
              <w:rPr>
                <w:b/>
                <w:bCs/>
              </w:rPr>
            </w:pPr>
            <w:r w:rsidRPr="00C74625">
              <w:rPr>
                <w:b/>
                <w:bCs/>
              </w:rPr>
              <w:t>Initiative/Project</w:t>
            </w:r>
          </w:p>
        </w:tc>
        <w:tc>
          <w:tcPr>
            <w:tcW w:w="4905"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730C0388" w14:textId="77777777" w:rsidR="007510CE" w:rsidRPr="00C74625" w:rsidRDefault="007510CE" w:rsidP="00C74625">
            <w:pPr>
              <w:rPr>
                <w:b/>
                <w:bCs/>
              </w:rPr>
            </w:pPr>
            <w:r w:rsidRPr="00C74625">
              <w:rPr>
                <w:b/>
                <w:bCs/>
              </w:rPr>
              <w:t>Description &amp; Intended Impact</w:t>
            </w:r>
          </w:p>
        </w:tc>
      </w:tr>
      <w:tr w:rsidR="007510CE" w:rsidRPr="00C74625" w14:paraId="57EA1BAE"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57FE1E3" w14:textId="044DAD1A" w:rsidR="007510CE" w:rsidRPr="00C74625" w:rsidRDefault="00985DDD" w:rsidP="00C74625">
            <w:r>
              <w:t xml:space="preserve">3.1: </w:t>
            </w:r>
            <w:r w:rsidR="007510CE" w:rsidRPr="00C74625">
              <w:t>AI-Powered Personal Assistants</w:t>
            </w:r>
            <w:r w:rsidR="0065528D">
              <w:t xml:space="preserve"> &amp; </w:t>
            </w:r>
            <w:r w:rsidR="006F779F">
              <w:t>Agenti</w:t>
            </w:r>
            <w:r w:rsidR="00EF05F9">
              <w:t>c</w:t>
            </w:r>
            <w:r w:rsidR="006F779F">
              <w:t xml:space="preserve"> AI</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6096ECB" w14:textId="6F29E487" w:rsidR="007510CE" w:rsidRPr="00C74625" w:rsidRDefault="007510CE" w:rsidP="00C74625">
            <w:r w:rsidRPr="00C74625">
              <w:t>AI-enabled Campus Assistants</w:t>
            </w:r>
            <w:r w:rsidR="0065528D">
              <w:t xml:space="preserve"> &amp; </w:t>
            </w:r>
            <w:r w:rsidR="005E5180">
              <w:t>Agents</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2EC5DD5" w14:textId="1F931947" w:rsidR="007510CE" w:rsidRPr="00C74625" w:rsidRDefault="007510CE" w:rsidP="00C74625">
            <w:r w:rsidRPr="00C74625">
              <w:t>Develop adaptive AI assistants</w:t>
            </w:r>
            <w:r w:rsidR="0065528D">
              <w:t xml:space="preserve"> and agents</w:t>
            </w:r>
            <w:r w:rsidRPr="00C74625">
              <w:t xml:space="preserve"> for students, faculty, and staff to support administration, learning, and wellbeing.</w:t>
            </w:r>
          </w:p>
        </w:tc>
      </w:tr>
      <w:tr w:rsidR="007510CE" w:rsidRPr="00C74625" w14:paraId="1DB00C92"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B34C232" w14:textId="40A13A7D" w:rsidR="007510CE" w:rsidRPr="00C74625" w:rsidRDefault="00985DDD" w:rsidP="00C74625">
            <w:r>
              <w:t xml:space="preserve">3.2: </w:t>
            </w:r>
            <w:r w:rsidR="007510CE" w:rsidRPr="00C74625">
              <w:t>Interdisciplinary AI Research Ecosystem</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20AC5CA" w14:textId="3E79E45D" w:rsidR="007510CE" w:rsidRPr="00C74625" w:rsidRDefault="00711597" w:rsidP="00C74625">
            <w:r>
              <w:t xml:space="preserve">AIIRI </w:t>
            </w:r>
            <w:r w:rsidR="007510CE" w:rsidRPr="00C74625">
              <w:t>AI Collaboratories &amp; Living Lab</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252B71E" w14:textId="77777777" w:rsidR="007510CE" w:rsidRPr="00C74625" w:rsidRDefault="007510CE" w:rsidP="00C74625">
            <w:r w:rsidRPr="00C74625">
              <w:t>Establish collaborative research clusters and a "Living Lab" for campus-wide data sharing and cross-disciplinary projects.</w:t>
            </w:r>
          </w:p>
        </w:tc>
      </w:tr>
      <w:tr w:rsidR="007510CE" w:rsidRPr="00C74625" w14:paraId="363C5E15"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5DF075F" w14:textId="01F8CB70" w:rsidR="007510CE" w:rsidRPr="00C74625" w:rsidRDefault="00985DDD" w:rsidP="00C74625">
            <w:r>
              <w:t xml:space="preserve">3.3: </w:t>
            </w:r>
            <w:r w:rsidR="007510CE" w:rsidRPr="00C74625">
              <w:t>Comprehensive AI Literacy &amp; Workforce Development</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82A822E" w14:textId="77777777" w:rsidR="007510CE" w:rsidRPr="00C74625" w:rsidRDefault="007510CE" w:rsidP="00C74625">
            <w:r w:rsidRPr="00C74625">
              <w:t>AI</w:t>
            </w:r>
            <w:r w:rsidRPr="008A2207">
              <w:rPr>
                <w:vertAlign w:val="superscript"/>
              </w:rPr>
              <w:t>2</w:t>
            </w:r>
            <w:r w:rsidRPr="00C74625">
              <w:t xml:space="preserve"> Center Expansion &amp; AI for All Program</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1D1012A" w14:textId="77777777" w:rsidR="007510CE" w:rsidRPr="00C74625" w:rsidRDefault="007510CE" w:rsidP="00C74625">
            <w:r w:rsidRPr="00C74625">
              <w:t>Scale campus AI learning; add stackable credentials and professional development pathways for all community members.</w:t>
            </w:r>
          </w:p>
        </w:tc>
      </w:tr>
      <w:tr w:rsidR="007510CE" w:rsidRPr="00C74625" w14:paraId="0F59DC68"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4F2259E" w14:textId="0A588BD3" w:rsidR="007510CE" w:rsidRPr="00C74625" w:rsidRDefault="00985DDD" w:rsidP="00C74625">
            <w:r>
              <w:t xml:space="preserve">3.4: </w:t>
            </w:r>
            <w:r w:rsidR="007510CE" w:rsidRPr="00C74625">
              <w:t xml:space="preserve">AI-Enhanced Teaching </w:t>
            </w:r>
            <w:r>
              <w:t>&amp;</w:t>
            </w:r>
            <w:r w:rsidR="007510CE" w:rsidRPr="00C74625">
              <w:t xml:space="preserve"> Learning</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899FE02" w14:textId="77777777" w:rsidR="007510CE" w:rsidRPr="00C74625" w:rsidRDefault="007510CE" w:rsidP="00C74625">
            <w:r w:rsidRPr="00C74625">
              <w:t>Adaptive Courseware and Tutoring Systems</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6B263DF" w14:textId="77777777" w:rsidR="007510CE" w:rsidRPr="00C74625" w:rsidRDefault="007510CE" w:rsidP="00C74625">
            <w:r w:rsidRPr="00C74625">
              <w:t>Pilot AI-driven textbooks, analytics dashboards, and tutoring platforms for personalized, equitable instructional support.</w:t>
            </w:r>
          </w:p>
        </w:tc>
      </w:tr>
      <w:tr w:rsidR="007510CE" w:rsidRPr="00C74625" w14:paraId="54797938"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5694AEA" w14:textId="609C1548" w:rsidR="007510CE" w:rsidRPr="00C74625" w:rsidRDefault="00985DDD" w:rsidP="00C74625">
            <w:r>
              <w:t xml:space="preserve">3.5: </w:t>
            </w:r>
            <w:r w:rsidR="007510CE" w:rsidRPr="00C74625">
              <w:t>Operational Efficiency, Sustainability &amp; Digital Infrastructure</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36BB146" w14:textId="77777777" w:rsidR="007510CE" w:rsidRPr="00C74625" w:rsidRDefault="007510CE" w:rsidP="00C74625">
            <w:r w:rsidRPr="00C74625">
              <w:t>UF Digital Twin</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57CA219" w14:textId="77777777" w:rsidR="007510CE" w:rsidRPr="00C74625" w:rsidRDefault="007510CE" w:rsidP="00C74625">
            <w:r w:rsidRPr="00C74625">
              <w:t>Build a real-time, AI-powered virtual model to optimize resources, energy, facilities, and provide teaching/research data.</w:t>
            </w:r>
          </w:p>
        </w:tc>
      </w:tr>
      <w:tr w:rsidR="007510CE" w:rsidRPr="00C74625" w14:paraId="32945B4C"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32C4311" w14:textId="6CBD1D65" w:rsidR="007510CE" w:rsidRPr="00C74625" w:rsidRDefault="00985DDD" w:rsidP="00C74625">
            <w:r>
              <w:t xml:space="preserve">3.6: </w:t>
            </w:r>
            <w:r w:rsidR="007510CE" w:rsidRPr="00C74625">
              <w:t>AI-Enhanced Student &amp; Faculty Success</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415C854" w14:textId="77777777" w:rsidR="007510CE" w:rsidRPr="00C74625" w:rsidRDefault="007510CE" w:rsidP="00C74625">
            <w:r w:rsidRPr="00C74625">
              <w:t>Predictive Analytics &amp; Smart Dashboards</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2B32099" w14:textId="77777777" w:rsidR="007510CE" w:rsidRPr="00C74625" w:rsidRDefault="007510CE" w:rsidP="00C74625">
            <w:r w:rsidRPr="00C74625">
              <w:t>Integrate AI analytics into advising, mental health, and workload management with privacy-focused, opt-in practices.</w:t>
            </w:r>
          </w:p>
        </w:tc>
      </w:tr>
      <w:tr w:rsidR="007510CE" w:rsidRPr="00C74625" w14:paraId="4A1ACB8F" w14:textId="77777777" w:rsidTr="00985DDD">
        <w:trPr>
          <w:tblCellSpacing w:w="15" w:type="dxa"/>
        </w:trPr>
        <w:tc>
          <w:tcPr>
            <w:tcW w:w="228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07F43B0" w14:textId="0C6CD9FB" w:rsidR="007510CE" w:rsidRPr="00C74625" w:rsidRDefault="00985DDD" w:rsidP="00C74625">
            <w:r>
              <w:t xml:space="preserve">3.7: </w:t>
            </w:r>
            <w:r w:rsidR="007510CE" w:rsidRPr="00C74625">
              <w:t>Responsible Governance, Ethics &amp; Privacy</w:t>
            </w:r>
          </w:p>
        </w:tc>
        <w:tc>
          <w:tcPr>
            <w:tcW w:w="2378"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D545895" w14:textId="77777777" w:rsidR="007510CE" w:rsidRPr="00C74625" w:rsidRDefault="007510CE" w:rsidP="00C74625">
            <w:r w:rsidRPr="00C74625">
              <w:t>AI Governance Framework</w:t>
            </w:r>
          </w:p>
        </w:tc>
        <w:tc>
          <w:tcPr>
            <w:tcW w:w="490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7D714F7" w14:textId="77777777" w:rsidR="007510CE" w:rsidRPr="00C74625" w:rsidRDefault="007510CE" w:rsidP="00C74625">
            <w:r w:rsidRPr="00C74625">
              <w:t>Compose formal ethics committee and policies on AI transparency, privacy, data use, and bias mitigation; community review.</w:t>
            </w:r>
          </w:p>
        </w:tc>
      </w:tr>
    </w:tbl>
    <w:p w14:paraId="622B1021" w14:textId="0ACCE2F5" w:rsidR="00C74625" w:rsidRPr="00C74625" w:rsidRDefault="00C74625" w:rsidP="00C74625"/>
    <w:p w14:paraId="684F891D" w14:textId="6BAA7D68" w:rsidR="00D7070D" w:rsidRPr="00D7070D" w:rsidRDefault="00D7070D" w:rsidP="001853CF">
      <w:pPr>
        <w:spacing w:line="480" w:lineRule="auto"/>
      </w:pPr>
      <w:r w:rsidRPr="00C74625">
        <w:t xml:space="preserve">are grouped into seven major thematic areas, each accompanied by specific initiatives and </w:t>
      </w:r>
      <w:r>
        <w:t xml:space="preserve">related description and intended impact, so </w:t>
      </w:r>
      <w:r w:rsidRPr="00C74625">
        <w:t>reflecting the range and depth of campus-wide engagement.</w:t>
      </w:r>
      <w:r>
        <w:t xml:space="preserve"> Included in Table 1 are two established UF programs: </w:t>
      </w:r>
      <w:bookmarkStart w:id="1" w:name="_Hlk207119849"/>
      <w:r>
        <w:t>AIIRI and the AI</w:t>
      </w:r>
      <w:r w:rsidRPr="00C722F6">
        <w:rPr>
          <w:vertAlign w:val="superscript"/>
        </w:rPr>
        <w:t>2</w:t>
      </w:r>
      <w:r>
        <w:t xml:space="preserve"> Center. </w:t>
      </w:r>
      <w:bookmarkEnd w:id="1"/>
      <w:r>
        <w:t>The AIIRI focuses on building a stronger UF AI research community, enhancing external AI visibility, and supporting AI research across campus. The AI</w:t>
      </w:r>
      <w:r w:rsidRPr="00C907BC">
        <w:rPr>
          <w:vertAlign w:val="superscript"/>
        </w:rPr>
        <w:t>2</w:t>
      </w:r>
      <w:r>
        <w:t xml:space="preserve"> Center is the centralized leadership for AI academic efforts at UF. </w:t>
      </w:r>
      <w:r>
        <w:lastRenderedPageBreak/>
        <w:t>These cross-college initiatives provide overarching organization support to AI research and academic programs spanning internal and external collaborations.</w:t>
      </w:r>
    </w:p>
    <w:p w14:paraId="4776EEFB" w14:textId="72BA189F" w:rsidR="00363773" w:rsidRPr="00363773" w:rsidRDefault="00D412F7" w:rsidP="001853CF">
      <w:pPr>
        <w:spacing w:line="480" w:lineRule="auto"/>
        <w:rPr>
          <w:b/>
          <w:bCs/>
        </w:rPr>
      </w:pPr>
      <w:r>
        <w:rPr>
          <w:b/>
          <w:bCs/>
        </w:rPr>
        <w:t xml:space="preserve">3.1. </w:t>
      </w:r>
      <w:r w:rsidR="00363773" w:rsidRPr="00363773">
        <w:rPr>
          <w:b/>
          <w:bCs/>
        </w:rPr>
        <w:t xml:space="preserve">AI-Powered Personal Assistants and </w:t>
      </w:r>
      <w:r w:rsidR="000B50E2" w:rsidRPr="00363773">
        <w:rPr>
          <w:b/>
          <w:bCs/>
        </w:rPr>
        <w:t>Agent</w:t>
      </w:r>
      <w:r w:rsidR="000B50E2">
        <w:rPr>
          <w:b/>
          <w:bCs/>
        </w:rPr>
        <w:t>i</w:t>
      </w:r>
      <w:r w:rsidR="00EF05F9">
        <w:rPr>
          <w:b/>
          <w:bCs/>
        </w:rPr>
        <w:t>c</w:t>
      </w:r>
      <w:r w:rsidR="000B50E2">
        <w:rPr>
          <w:b/>
          <w:bCs/>
        </w:rPr>
        <w:t xml:space="preserve"> AI</w:t>
      </w:r>
      <w:r w:rsidR="00363773" w:rsidRPr="00363773">
        <w:rPr>
          <w:b/>
          <w:bCs/>
        </w:rPr>
        <w:t xml:space="preserve"> for Learning, Research, and Administration</w:t>
      </w:r>
      <w:r w:rsidR="00363773" w:rsidRPr="00363773">
        <w:rPr>
          <w:b/>
          <w:bCs/>
        </w:rPr>
        <w:br/>
        <w:t xml:space="preserve">Recommendation: </w:t>
      </w:r>
      <w:r w:rsidRPr="00D412F7">
        <w:t>D</w:t>
      </w:r>
      <w:r w:rsidR="00363773" w:rsidRPr="00363773">
        <w:t>evelop and deploy AI-enabled personal assistants and, more strategically, advanced AI agents tailored to the needs of students, faculty, and staff. These AI-driven tools and entities are envisioned to go well beyond mere productivity boosts, offering holistic, contextualized, and adaptive support for learning, research, wellbeing, and administrative functions across the university.</w:t>
      </w:r>
    </w:p>
    <w:p w14:paraId="38BAFB2F" w14:textId="02801E9E" w:rsidR="00363773" w:rsidRPr="00363773" w:rsidRDefault="00363773" w:rsidP="001853CF">
      <w:pPr>
        <w:spacing w:line="480" w:lineRule="auto"/>
        <w:rPr>
          <w:b/>
          <w:bCs/>
        </w:rPr>
      </w:pPr>
      <w:r w:rsidRPr="00363773">
        <w:rPr>
          <w:b/>
          <w:bCs/>
        </w:rPr>
        <w:t>Defining Assistants versus Agents:</w:t>
      </w:r>
      <w:r w:rsidR="00D412F7">
        <w:rPr>
          <w:b/>
          <w:bCs/>
        </w:rPr>
        <w:t xml:space="preserve"> </w:t>
      </w:r>
      <w:r w:rsidR="005A6C48" w:rsidRPr="00363773">
        <w:t>AI-powered personal assistants are software applications or systems designed to carry out specific user-initiated tasks and provide routine support</w:t>
      </w:r>
      <w:r w:rsidR="00F05CCE">
        <w:t xml:space="preserve">, </w:t>
      </w:r>
      <w:r w:rsidR="005A6C48" w:rsidRPr="00363773">
        <w:t>such as answering queries, managing schedules, or retrieving information</w:t>
      </w:r>
      <w:r w:rsidR="00F05CCE">
        <w:t xml:space="preserve">, </w:t>
      </w:r>
      <w:r w:rsidR="005A6C48" w:rsidRPr="00363773">
        <w:t xml:space="preserve">in a largely reactive and task-focused manner. In contrast, </w:t>
      </w:r>
      <w:r w:rsidR="005A6C48">
        <w:t>agenti</w:t>
      </w:r>
      <w:r w:rsidR="00EF05F9">
        <w:t>c</w:t>
      </w:r>
      <w:r w:rsidR="005A6C48">
        <w:t xml:space="preserve"> AI is where </w:t>
      </w:r>
      <w:r w:rsidR="005A6C48" w:rsidRPr="00363773">
        <w:t>AI agents represent a more advanced class of autonomous digital entities capable of perceiving their environment, reasoning proactively, initiating actions, learning from ongoing interactions, and adapting their strategies to meet evolving user needs and institutional goals. While assistants respond to requests, agents can anticipate needs, make contextual decisions, coordinate multiple actions over time, and engage in complex problem-solving, bringing a higher level of autonomy, personalization, and transformative potential.</w:t>
      </w:r>
    </w:p>
    <w:p w14:paraId="78431868" w14:textId="6CD990FF" w:rsidR="00363773" w:rsidRPr="00363773" w:rsidRDefault="00363773" w:rsidP="001853CF">
      <w:pPr>
        <w:spacing w:line="480" w:lineRule="auto"/>
        <w:rPr>
          <w:b/>
          <w:bCs/>
        </w:rPr>
      </w:pPr>
      <w:r w:rsidRPr="00363773">
        <w:rPr>
          <w:b/>
          <w:bCs/>
        </w:rPr>
        <w:t>Details and Rationale:</w:t>
      </w:r>
      <w:r w:rsidR="00D412F7">
        <w:rPr>
          <w:b/>
          <w:bCs/>
        </w:rPr>
        <w:t xml:space="preserve"> </w:t>
      </w:r>
      <w:r w:rsidR="00087A33" w:rsidRPr="00D412F7">
        <w:t>T</w:t>
      </w:r>
      <w:r w:rsidR="00087A33" w:rsidRPr="00363773">
        <w:t xml:space="preserve">here is broad enthusiasm and recognition of the transformative promise </w:t>
      </w:r>
      <w:r w:rsidR="00087A33">
        <w:t>of agenti</w:t>
      </w:r>
      <w:r w:rsidR="00927440">
        <w:t>c</w:t>
      </w:r>
      <w:r w:rsidR="00087A33">
        <w:t xml:space="preserve"> AI, specifically related to</w:t>
      </w:r>
      <w:r w:rsidR="00087A33" w:rsidRPr="00363773">
        <w:t xml:space="preserve"> context-aware digital agents </w:t>
      </w:r>
      <w:r w:rsidR="00087A33">
        <w:t xml:space="preserve">and the promise they </w:t>
      </w:r>
      <w:r w:rsidR="00087A33" w:rsidRPr="00363773">
        <w:t>hold for the university community.</w:t>
      </w:r>
      <w:r w:rsidRPr="00363773">
        <w:t xml:space="preserve"> Participants envisioned hyper-personalized “digital coaches” and proactive agents that not only manage logistics</w:t>
      </w:r>
      <w:r w:rsidR="00F05CCE">
        <w:t xml:space="preserve">, </w:t>
      </w:r>
      <w:r w:rsidRPr="00363773">
        <w:t>such as scheduling meetings or summarizing readings</w:t>
      </w:r>
      <w:r w:rsidR="00F05CCE">
        <w:t xml:space="preserve">, </w:t>
      </w:r>
      <w:r w:rsidRPr="00363773">
        <w:t xml:space="preserve">but also anticipate needs, provide tailored learning pathways, monitor research milestones, flag wellness concerns, recommend campus resources, and support adaptive time management. </w:t>
      </w:r>
      <w:r w:rsidRPr="00363773">
        <w:lastRenderedPageBreak/>
        <w:t>Unlike basic assistants that simply carry out instructions, these agents could autonomously synthesize information across platforms, identify emerging challenges, and act in the best interest of users while maintaining strict adherence to ethical, privacy, and transparency standards. The deployment of AI agents has the potential to democratize access to support services, optimize resource allocation, mitigate workload pressures, and foster a proactive, responsive, and thriving campus ecosystem for all.</w:t>
      </w:r>
    </w:p>
    <w:p w14:paraId="410C41EC" w14:textId="27ED1F5E" w:rsidR="00363773" w:rsidRPr="00363773" w:rsidRDefault="00363773" w:rsidP="001853CF">
      <w:pPr>
        <w:spacing w:line="480" w:lineRule="auto"/>
        <w:rPr>
          <w:b/>
          <w:bCs/>
        </w:rPr>
      </w:pPr>
      <w:r w:rsidRPr="00363773">
        <w:rPr>
          <w:b/>
          <w:bCs/>
        </w:rPr>
        <w:t>Pilot Initiative:</w:t>
      </w:r>
      <w:r w:rsidR="00D412F7">
        <w:rPr>
          <w:b/>
          <w:bCs/>
        </w:rPr>
        <w:t xml:space="preserve"> </w:t>
      </w:r>
      <w:r w:rsidRPr="00363773">
        <w:t>A phased pilot could commence by targeting key areas such as undergraduate advising and graduate research support. Here, UF would deploy next-generation conversational agents and personalized recommendation engines, fully integrated into the university’s digital ecosystem. These agents could, for example, autonomously track academic progress, proactively alert advisors to students in need of intervention, suggest relevant research funding or collaboration opportunities, and seamlessly connect users with available campus resources</w:t>
      </w:r>
      <w:r w:rsidR="00E13665">
        <w:t>,</w:t>
      </w:r>
      <w:r w:rsidR="008D541B">
        <w:t xml:space="preserve"> </w:t>
      </w:r>
      <w:r w:rsidR="00E023B1">
        <w:t xml:space="preserve">thus </w:t>
      </w:r>
      <w:r w:rsidRPr="00363773">
        <w:t>demonstrating the practical and innovative advantages of agent-based approaches over traditional digital assistants.</w:t>
      </w:r>
    </w:p>
    <w:p w14:paraId="40A65864" w14:textId="18FD194F" w:rsidR="00C74625" w:rsidRPr="00C74625" w:rsidRDefault="00D6683C" w:rsidP="00C74625">
      <w:pPr>
        <w:rPr>
          <w:b/>
          <w:bCs/>
        </w:rPr>
      </w:pPr>
      <w:r>
        <w:rPr>
          <w:b/>
          <w:bCs/>
        </w:rPr>
        <w:t>3.</w:t>
      </w:r>
      <w:r w:rsidR="00C74625" w:rsidRPr="00C74625">
        <w:rPr>
          <w:b/>
          <w:bCs/>
        </w:rPr>
        <w:t>2. Interdisciplinary AI Research Ecosystem</w:t>
      </w:r>
    </w:p>
    <w:p w14:paraId="4899BE6F" w14:textId="792BEBE1" w:rsidR="00C74625" w:rsidRPr="00C74625" w:rsidRDefault="00C74625" w:rsidP="001853CF">
      <w:pPr>
        <w:spacing w:line="480" w:lineRule="auto"/>
      </w:pPr>
      <w:r w:rsidRPr="00C74625">
        <w:rPr>
          <w:b/>
          <w:bCs/>
        </w:rPr>
        <w:t>Recommendation:</w:t>
      </w:r>
      <w:r w:rsidR="00B35084">
        <w:rPr>
          <w:b/>
          <w:bCs/>
        </w:rPr>
        <w:t xml:space="preserve"> </w:t>
      </w:r>
      <w:r w:rsidR="00D94244">
        <w:t>I</w:t>
      </w:r>
      <w:r w:rsidR="00D94244" w:rsidRPr="00C74625">
        <w:t>nvest</w:t>
      </w:r>
      <w:r w:rsidRPr="00C74625">
        <w:t xml:space="preserve"> in fostering an institution-wide research ecosystem that leverages AI to accelerate discovery, especially in interdisciplinary and translational domains.</w:t>
      </w:r>
    </w:p>
    <w:p w14:paraId="4D2B7473" w14:textId="56B42F11" w:rsidR="00C74625" w:rsidRDefault="00C74625" w:rsidP="001853CF">
      <w:pPr>
        <w:spacing w:line="480" w:lineRule="auto"/>
      </w:pPr>
      <w:r w:rsidRPr="00C74625">
        <w:rPr>
          <w:b/>
          <w:bCs/>
        </w:rPr>
        <w:t>Details and Rationale:</w:t>
      </w:r>
      <w:r>
        <w:t xml:space="preserve"> </w:t>
      </w:r>
      <w:r w:rsidRPr="00C74625">
        <w:t>Participants repeatedly noted that meaningful advances in AI applications often emerge at the intersection of disciplines</w:t>
      </w:r>
      <w:r w:rsidR="008D541B">
        <w:t xml:space="preserve">: </w:t>
      </w:r>
      <w:r w:rsidRPr="00C74625">
        <w:t xml:space="preserve">engineering, medicine, social sciences, </w:t>
      </w:r>
      <w:r w:rsidR="00CB5697">
        <w:t xml:space="preserve">agriculture, </w:t>
      </w:r>
      <w:r w:rsidRPr="00C74625">
        <w:t>and the humanities. Workshops identified high-value opportunities in health analytics, food security, environmental sustainability, educational technology, and social policy, and advocated for mechanisms to lower the barriers to collaboration.</w:t>
      </w:r>
    </w:p>
    <w:p w14:paraId="6C7C00A5" w14:textId="77777777" w:rsidR="00FB08A7" w:rsidRPr="00C74625" w:rsidRDefault="00FB08A7" w:rsidP="001853CF">
      <w:pPr>
        <w:spacing w:line="480" w:lineRule="auto"/>
      </w:pPr>
    </w:p>
    <w:p w14:paraId="171F4E99" w14:textId="77777777" w:rsidR="00C74625" w:rsidRPr="00C74625" w:rsidRDefault="00C74625" w:rsidP="001853CF">
      <w:pPr>
        <w:spacing w:line="480" w:lineRule="auto"/>
      </w:pPr>
      <w:r w:rsidRPr="00C74625">
        <w:rPr>
          <w:b/>
          <w:bCs/>
        </w:rPr>
        <w:lastRenderedPageBreak/>
        <w:t>Proposed Actions:</w:t>
      </w:r>
    </w:p>
    <w:p w14:paraId="27170FDC" w14:textId="77777777" w:rsidR="00C74625" w:rsidRPr="00C74625" w:rsidRDefault="00C74625" w:rsidP="001853CF">
      <w:pPr>
        <w:numPr>
          <w:ilvl w:val="0"/>
          <w:numId w:val="1"/>
        </w:numPr>
        <w:spacing w:line="480" w:lineRule="auto"/>
      </w:pPr>
      <w:r w:rsidRPr="00C74625">
        <w:t>Establish AI “collaboratories” or themed research clusters.</w:t>
      </w:r>
    </w:p>
    <w:p w14:paraId="3AC84151" w14:textId="77777777" w:rsidR="00C74625" w:rsidRPr="00C74625" w:rsidRDefault="00C74625" w:rsidP="001853CF">
      <w:pPr>
        <w:numPr>
          <w:ilvl w:val="0"/>
          <w:numId w:val="1"/>
        </w:numPr>
        <w:spacing w:line="480" w:lineRule="auto"/>
      </w:pPr>
      <w:r w:rsidRPr="00C74625">
        <w:t>Incentivize faculty and cross-unit grants that foster interdisciplinary experimentation.</w:t>
      </w:r>
    </w:p>
    <w:p w14:paraId="2F7E8476" w14:textId="77777777" w:rsidR="00C74625" w:rsidRPr="00C74625" w:rsidRDefault="00C74625" w:rsidP="001853CF">
      <w:pPr>
        <w:numPr>
          <w:ilvl w:val="0"/>
          <w:numId w:val="1"/>
        </w:numPr>
        <w:spacing w:line="480" w:lineRule="auto"/>
      </w:pPr>
      <w:r w:rsidRPr="00C74625">
        <w:t>Develop shared data infrastructure and platforms to support secure, federated access to research datasets.</w:t>
      </w:r>
    </w:p>
    <w:p w14:paraId="18A1E4D1" w14:textId="02B24407" w:rsidR="00400051" w:rsidRPr="00400051" w:rsidRDefault="00C74625" w:rsidP="001853CF">
      <w:pPr>
        <w:spacing w:line="480" w:lineRule="auto"/>
      </w:pPr>
      <w:r w:rsidRPr="00C74625">
        <w:rPr>
          <w:b/>
          <w:bCs/>
        </w:rPr>
        <w:t>Pilot Initiative:</w:t>
      </w:r>
      <w:r>
        <w:t xml:space="preserve"> </w:t>
      </w:r>
      <w:r w:rsidRPr="00C74625">
        <w:t xml:space="preserve">A campus-wide “AI Living Lab” would serve as both a research platform and a teaching resource, </w:t>
      </w:r>
      <w:r w:rsidR="00400051" w:rsidRPr="00400051">
        <w:t>enabling the sharing of and access to real-world data streams generated on campus energy, mobility, health, and learning environments.</w:t>
      </w:r>
      <w:r w:rsidR="00DF6E2A">
        <w:t xml:space="preserve"> Research </w:t>
      </w:r>
      <w:r w:rsidR="00B21240">
        <w:t>collaborations</w:t>
      </w:r>
      <w:r w:rsidR="00805980">
        <w:t xml:space="preserve"> and new innovations</w:t>
      </w:r>
      <w:r w:rsidR="00B21240">
        <w:t xml:space="preserve"> are supported at UF by the AIIRI.</w:t>
      </w:r>
    </w:p>
    <w:p w14:paraId="2AD18215" w14:textId="15D3D6A2" w:rsidR="00C74625" w:rsidRPr="00C74625" w:rsidRDefault="00D6683C" w:rsidP="00C74625">
      <w:pPr>
        <w:rPr>
          <w:b/>
          <w:bCs/>
        </w:rPr>
      </w:pPr>
      <w:r>
        <w:rPr>
          <w:b/>
          <w:bCs/>
        </w:rPr>
        <w:t>3.</w:t>
      </w:r>
      <w:r w:rsidR="00C74625" w:rsidRPr="00C74625">
        <w:rPr>
          <w:b/>
          <w:bCs/>
        </w:rPr>
        <w:t>3. Comprehensive AI Literacy and Workforce Development</w:t>
      </w:r>
    </w:p>
    <w:p w14:paraId="427833EC" w14:textId="223ACA55" w:rsidR="00C74625" w:rsidRPr="00C74625" w:rsidRDefault="00C74625" w:rsidP="001853CF">
      <w:pPr>
        <w:spacing w:line="480" w:lineRule="auto"/>
      </w:pPr>
      <w:r w:rsidRPr="00C74625">
        <w:rPr>
          <w:b/>
          <w:bCs/>
        </w:rPr>
        <w:t>Recommendation:</w:t>
      </w:r>
      <w:r>
        <w:t xml:space="preserve"> </w:t>
      </w:r>
      <w:r w:rsidR="00B35084">
        <w:t>C</w:t>
      </w:r>
      <w:r w:rsidRPr="00C74625">
        <w:t>ommit to AI literacy as a “core competency” for the entire campus community</w:t>
      </w:r>
      <w:r w:rsidR="000B7642">
        <w:t xml:space="preserve">: </w:t>
      </w:r>
      <w:r w:rsidRPr="00C74625">
        <w:t>embedding it into curricular, co-curricular, and professional development activities.</w:t>
      </w:r>
    </w:p>
    <w:p w14:paraId="186CCBD7" w14:textId="7DB0C842" w:rsidR="00C74625" w:rsidRPr="00C74625" w:rsidRDefault="00C74625" w:rsidP="001853CF">
      <w:pPr>
        <w:spacing w:line="480" w:lineRule="auto"/>
      </w:pPr>
      <w:r w:rsidRPr="00C74625">
        <w:rPr>
          <w:b/>
          <w:bCs/>
        </w:rPr>
        <w:t>Details and Rationale:</w:t>
      </w:r>
      <w:r>
        <w:t xml:space="preserve"> </w:t>
      </w:r>
      <w:r w:rsidRPr="00C74625">
        <w:t>Participants voiced strong consensus that AI awareness and fluency are not just technical skills but foundational for informed citizenship, academic integrity, and career readiness. Proposed activities range from adding AI modules to undergraduate general education, to specialized faculty upskilling workshops and hands-on clinics for staff.</w:t>
      </w:r>
    </w:p>
    <w:p w14:paraId="20D4A830" w14:textId="77777777" w:rsidR="00C74625" w:rsidRPr="00C74625" w:rsidRDefault="00C74625" w:rsidP="001853CF">
      <w:pPr>
        <w:spacing w:line="480" w:lineRule="auto"/>
      </w:pPr>
      <w:r w:rsidRPr="00C74625">
        <w:rPr>
          <w:b/>
          <w:bCs/>
        </w:rPr>
        <w:t>Key Elements:</w:t>
      </w:r>
    </w:p>
    <w:p w14:paraId="1944EBF1" w14:textId="59124F28" w:rsidR="00C74625" w:rsidRPr="00C74625" w:rsidRDefault="00C74625" w:rsidP="001853CF">
      <w:pPr>
        <w:numPr>
          <w:ilvl w:val="0"/>
          <w:numId w:val="2"/>
        </w:numPr>
        <w:spacing w:line="480" w:lineRule="auto"/>
      </w:pPr>
      <w:r w:rsidRPr="00C74625">
        <w:t xml:space="preserve">Expand offerings and capacity at </w:t>
      </w:r>
      <w:r w:rsidR="004B5417">
        <w:t xml:space="preserve">UF’s </w:t>
      </w:r>
      <w:r w:rsidR="004B5417" w:rsidRPr="00C74625">
        <w:t>AI</w:t>
      </w:r>
      <w:r w:rsidR="004B5417" w:rsidRPr="004B5417">
        <w:rPr>
          <w:vertAlign w:val="superscript"/>
        </w:rPr>
        <w:t>2</w:t>
      </w:r>
      <w:r w:rsidR="004B5417" w:rsidRPr="00C74625">
        <w:t xml:space="preserve"> Center </w:t>
      </w:r>
      <w:r w:rsidRPr="00C74625">
        <w:t>to serve as a hub for multidisciplinary AI education and outreach.</w:t>
      </w:r>
    </w:p>
    <w:p w14:paraId="041C405D" w14:textId="77777777" w:rsidR="00C74625" w:rsidRPr="00C74625" w:rsidRDefault="00C74625" w:rsidP="001853CF">
      <w:pPr>
        <w:numPr>
          <w:ilvl w:val="0"/>
          <w:numId w:val="2"/>
        </w:numPr>
        <w:spacing w:line="480" w:lineRule="auto"/>
      </w:pPr>
      <w:r w:rsidRPr="00C74625">
        <w:t>Develop modular, stackable credentials for undergraduate and graduate students.</w:t>
      </w:r>
    </w:p>
    <w:p w14:paraId="4ADDF205" w14:textId="77777777" w:rsidR="00C74625" w:rsidRPr="00B13E0D" w:rsidRDefault="00C74625" w:rsidP="001853CF">
      <w:pPr>
        <w:numPr>
          <w:ilvl w:val="0"/>
          <w:numId w:val="2"/>
        </w:numPr>
        <w:spacing w:line="480" w:lineRule="auto"/>
      </w:pPr>
      <w:r w:rsidRPr="00C74625">
        <w:lastRenderedPageBreak/>
        <w:t>Launch “AI</w:t>
      </w:r>
      <w:r w:rsidRPr="00B13E0D">
        <w:t xml:space="preserve"> for All” seminars and events that connect university learning to public engagement and the Florida workforce.</w:t>
      </w:r>
    </w:p>
    <w:p w14:paraId="6B72AF26" w14:textId="1727FE99" w:rsidR="00B13E0D" w:rsidRPr="00B13E0D" w:rsidRDefault="00B13E0D" w:rsidP="001853CF">
      <w:pPr>
        <w:pStyle w:val="pf0"/>
        <w:numPr>
          <w:ilvl w:val="0"/>
          <w:numId w:val="2"/>
        </w:numPr>
        <w:spacing w:line="480" w:lineRule="auto"/>
        <w:rPr>
          <w:rFonts w:asciiTheme="minorHAnsi" w:hAnsiTheme="minorHAnsi" w:cs="Arial"/>
          <w:sz w:val="22"/>
          <w:szCs w:val="22"/>
        </w:rPr>
      </w:pPr>
      <w:r w:rsidRPr="00B13E0D">
        <w:rPr>
          <w:rStyle w:val="cf01"/>
          <w:rFonts w:asciiTheme="minorHAnsi" w:eastAsiaTheme="majorEastAsia" w:hAnsiTheme="minorHAnsi"/>
          <w:sz w:val="22"/>
          <w:szCs w:val="22"/>
        </w:rPr>
        <w:t>Partner with the university’s career services to provide professional development programming to elevate core competencies into career preparedness efforts and industry recruitment.</w:t>
      </w:r>
    </w:p>
    <w:p w14:paraId="3F9A9989" w14:textId="2730408F" w:rsidR="00C74625" w:rsidRPr="00C74625" w:rsidRDefault="00C74625" w:rsidP="001853CF">
      <w:pPr>
        <w:spacing w:line="480" w:lineRule="auto"/>
      </w:pPr>
      <w:r w:rsidRPr="00C74625">
        <w:rPr>
          <w:b/>
          <w:bCs/>
        </w:rPr>
        <w:t>Pilot Initiative:</w:t>
      </w:r>
      <w:r>
        <w:t xml:space="preserve"> </w:t>
      </w:r>
      <w:r w:rsidRPr="00C74625">
        <w:t>A coordinated rollout of introductory AI courses at multiple academic levels and targeted professional development for faculty integrating AI into their teaching and research</w:t>
      </w:r>
      <w:r w:rsidR="00BC5A7B">
        <w:t xml:space="preserve"> with continual adaptation to remain technolog</w:t>
      </w:r>
      <w:r w:rsidR="000B7642">
        <w:t>ically</w:t>
      </w:r>
      <w:r w:rsidR="00BC5A7B">
        <w:t xml:space="preserve"> relevant</w:t>
      </w:r>
      <w:r w:rsidRPr="00C74625">
        <w:t>.</w:t>
      </w:r>
    </w:p>
    <w:p w14:paraId="2900EFF1" w14:textId="51D90E14" w:rsidR="00C74625" w:rsidRPr="00C74625" w:rsidRDefault="00D6683C" w:rsidP="00C74625">
      <w:pPr>
        <w:rPr>
          <w:b/>
          <w:bCs/>
        </w:rPr>
      </w:pPr>
      <w:r>
        <w:rPr>
          <w:b/>
          <w:bCs/>
        </w:rPr>
        <w:t>3.</w:t>
      </w:r>
      <w:r w:rsidR="00C74625" w:rsidRPr="00C74625">
        <w:rPr>
          <w:b/>
          <w:bCs/>
        </w:rPr>
        <w:t>4. Advancing Pedagogy Through AI-Enhanced Teaching and Learning</w:t>
      </w:r>
    </w:p>
    <w:p w14:paraId="2401BBDB" w14:textId="31FFDDC6" w:rsidR="00C74625" w:rsidRPr="00C74625" w:rsidRDefault="00C74625" w:rsidP="001853CF">
      <w:pPr>
        <w:spacing w:line="480" w:lineRule="auto"/>
      </w:pPr>
      <w:r w:rsidRPr="00C74625">
        <w:rPr>
          <w:b/>
          <w:bCs/>
        </w:rPr>
        <w:t>Recommendation:</w:t>
      </w:r>
      <w:r>
        <w:t xml:space="preserve"> </w:t>
      </w:r>
      <w:r w:rsidRPr="00C74625">
        <w:t>AI should be harnessed to personalize and deepen the educational experience, with careful safeguards to ensure equity and academic rigor.</w:t>
      </w:r>
    </w:p>
    <w:p w14:paraId="71908916" w14:textId="0695371C" w:rsidR="00C74625" w:rsidRPr="00C74625" w:rsidRDefault="00C74625" w:rsidP="001853CF">
      <w:pPr>
        <w:spacing w:line="480" w:lineRule="auto"/>
      </w:pPr>
      <w:r w:rsidRPr="00C74625">
        <w:rPr>
          <w:b/>
          <w:bCs/>
        </w:rPr>
        <w:t>Details and Rationale:</w:t>
      </w:r>
      <w:r>
        <w:t xml:space="preserve"> </w:t>
      </w:r>
      <w:r w:rsidRPr="00C74625">
        <w:t xml:space="preserve">Workshops </w:t>
      </w:r>
      <w:r w:rsidR="000635F1">
        <w:t>revealed a range</w:t>
      </w:r>
      <w:r w:rsidRPr="00C74625">
        <w:t xml:space="preserve"> of instructional innovations</w:t>
      </w:r>
      <w:r w:rsidR="00D6598D">
        <w:t xml:space="preserve"> such as </w:t>
      </w:r>
      <w:r w:rsidRPr="00C74625">
        <w:t>AI-driven adaptive textbooks, learning analytics dashboards for instructors, automated formative assessment, and intelligent tutoring systems designed to diagnose and support individual student needs. Participants highlighted the dual imperative of using AI to augment, not replace, the faculty role and ensuring that interventions narrow, rather than widen, achievement gaps.</w:t>
      </w:r>
    </w:p>
    <w:p w14:paraId="50E80A9A" w14:textId="7EAC8063" w:rsidR="00C74625" w:rsidRPr="00C74625" w:rsidRDefault="00C74625" w:rsidP="001853CF">
      <w:pPr>
        <w:spacing w:line="480" w:lineRule="auto"/>
      </w:pPr>
      <w:r w:rsidRPr="00C74625">
        <w:rPr>
          <w:b/>
          <w:bCs/>
        </w:rPr>
        <w:t>Discussion Points:</w:t>
      </w:r>
      <w:r>
        <w:t xml:space="preserve"> </w:t>
      </w:r>
      <w:r w:rsidRPr="00C74625">
        <w:t>Some participants cautioned that AI-powered assessment and feedback must be transparent and fully interpretable to faculty and students alike and must not compromise core values of intellectual independence. There was enthusiasm for pilot programs that would evaluate both the effectiveness and fairness of these new tools.</w:t>
      </w:r>
    </w:p>
    <w:p w14:paraId="70EB884A" w14:textId="6B04F408" w:rsidR="00C74625" w:rsidRPr="00C74625" w:rsidRDefault="00C74625" w:rsidP="001853CF">
      <w:pPr>
        <w:spacing w:line="480" w:lineRule="auto"/>
      </w:pPr>
      <w:r w:rsidRPr="00C74625">
        <w:rPr>
          <w:b/>
          <w:bCs/>
        </w:rPr>
        <w:t>Pilot Initiative:</w:t>
      </w:r>
      <w:r>
        <w:t xml:space="preserve"> </w:t>
      </w:r>
      <w:r w:rsidRPr="00C74625">
        <w:t xml:space="preserve">A partnership between the </w:t>
      </w:r>
      <w:r w:rsidR="0097695D">
        <w:t xml:space="preserve">UF </w:t>
      </w:r>
      <w:r w:rsidRPr="00C74625">
        <w:t>AI</w:t>
      </w:r>
      <w:r w:rsidRPr="004B5417">
        <w:rPr>
          <w:vertAlign w:val="superscript"/>
        </w:rPr>
        <w:t>2</w:t>
      </w:r>
      <w:r w:rsidRPr="00C74625">
        <w:t xml:space="preserve"> Center and the </w:t>
      </w:r>
      <w:r w:rsidR="0097695D">
        <w:t xml:space="preserve">UF </w:t>
      </w:r>
      <w:r w:rsidRPr="00C74625">
        <w:t>Center for Teaching Excellence</w:t>
      </w:r>
      <w:r w:rsidR="004D625A">
        <w:t xml:space="preserve"> (CTE)</w:t>
      </w:r>
      <w:r w:rsidRPr="00C74625">
        <w:t xml:space="preserve"> to co-develop and pilot AI-powered courseware in large-enrollment introductory courses.</w:t>
      </w:r>
      <w:r w:rsidR="00C92F6B">
        <w:t xml:space="preserve">  A </w:t>
      </w:r>
      <w:r w:rsidR="00C92F6B">
        <w:lastRenderedPageBreak/>
        <w:t xml:space="preserve">separate effort guided by </w:t>
      </w:r>
      <w:r w:rsidR="00EF461F">
        <w:t xml:space="preserve">the CIO and the Office of Academic Affairs seeks to refine </w:t>
      </w:r>
      <w:r w:rsidR="007B1E7A">
        <w:t xml:space="preserve">an </w:t>
      </w:r>
      <w:r w:rsidR="00EF461F">
        <w:t>existing AI-based tutoring system</w:t>
      </w:r>
      <w:r w:rsidR="002F708B">
        <w:t xml:space="preserve"> </w:t>
      </w:r>
      <w:r w:rsidR="007B1E7A">
        <w:t xml:space="preserve">for gateway courses at UF.  </w:t>
      </w:r>
    </w:p>
    <w:p w14:paraId="16D870A0" w14:textId="3EED2EEE" w:rsidR="00C74625" w:rsidRPr="00C74625" w:rsidRDefault="00D6683C" w:rsidP="00C74625">
      <w:pPr>
        <w:rPr>
          <w:b/>
          <w:bCs/>
        </w:rPr>
      </w:pPr>
      <w:r>
        <w:rPr>
          <w:b/>
          <w:bCs/>
        </w:rPr>
        <w:t>3.</w:t>
      </w:r>
      <w:r w:rsidR="00C74625" w:rsidRPr="00C74625">
        <w:rPr>
          <w:b/>
          <w:bCs/>
        </w:rPr>
        <w:t>5. AI-Driven Operational Efficiency, Sustainability, and Digital Infrastructure</w:t>
      </w:r>
    </w:p>
    <w:p w14:paraId="086579C7" w14:textId="2FC8A546" w:rsidR="00C74625" w:rsidRPr="00C74625" w:rsidRDefault="00C74625" w:rsidP="001853CF">
      <w:pPr>
        <w:spacing w:line="480" w:lineRule="auto"/>
      </w:pPr>
      <w:r w:rsidRPr="00C74625">
        <w:rPr>
          <w:b/>
          <w:bCs/>
        </w:rPr>
        <w:t>Recommendation:</w:t>
      </w:r>
      <w:r>
        <w:t xml:space="preserve"> </w:t>
      </w:r>
      <w:r w:rsidR="004D625A">
        <w:t>A</w:t>
      </w:r>
      <w:r w:rsidRPr="00C74625">
        <w:t xml:space="preserve">dopt advanced AI tools to optimize </w:t>
      </w:r>
      <w:r w:rsidR="00FF3D8B">
        <w:t>UF’s</w:t>
      </w:r>
      <w:r w:rsidRPr="00C74625">
        <w:t xml:space="preserve"> operational systems and sustainability goals</w:t>
      </w:r>
      <w:r w:rsidR="0058107F">
        <w:t xml:space="preserve"> with </w:t>
      </w:r>
      <w:r w:rsidR="00977800">
        <w:t>cost effectiveness considerations</w:t>
      </w:r>
      <w:r w:rsidRPr="00C74625">
        <w:t>, including the creation of a “UF Digital Twin”</w:t>
      </w:r>
      <w:r w:rsidR="00D6598D">
        <w:t xml:space="preserve">: </w:t>
      </w:r>
      <w:r w:rsidRPr="00C74625">
        <w:t>a comprehensive, real-time virtual model of the campus.</w:t>
      </w:r>
    </w:p>
    <w:p w14:paraId="37FD7DFE" w14:textId="18A11537" w:rsidR="00C74625" w:rsidRPr="00C74625" w:rsidRDefault="00C74625" w:rsidP="001853CF">
      <w:pPr>
        <w:spacing w:line="480" w:lineRule="auto"/>
      </w:pPr>
      <w:r w:rsidRPr="00C74625">
        <w:rPr>
          <w:b/>
          <w:bCs/>
        </w:rPr>
        <w:t>Details and Rationale:</w:t>
      </w:r>
      <w:r>
        <w:t xml:space="preserve"> </w:t>
      </w:r>
      <w:r w:rsidRPr="00C74625">
        <w:t xml:space="preserve">Participants from operations and facilities management imagined real-time, AI-enhanced monitoring and simulation for energy, water, and transportation systems, as well as predictive analytics for physical infrastructure maintenance and space allocation. The Digital Twin concept attracted support both for its </w:t>
      </w:r>
      <w:r w:rsidRPr="00FD4E01">
        <w:t>immediate ROI in</w:t>
      </w:r>
      <w:r w:rsidRPr="00C74625">
        <w:t xml:space="preserve"> operational efficiency and as a research/teaching</w:t>
      </w:r>
      <w:r w:rsidR="003B4C01">
        <w:t>/data</w:t>
      </w:r>
      <w:r w:rsidRPr="00C74625">
        <w:t xml:space="preserve"> platform for students across </w:t>
      </w:r>
      <w:r w:rsidR="00BC5A7B">
        <w:t>all disciplines</w:t>
      </w:r>
      <w:r w:rsidRPr="00C74625">
        <w:t>.</w:t>
      </w:r>
    </w:p>
    <w:p w14:paraId="12D743AE" w14:textId="148C5126" w:rsidR="00C74625" w:rsidRPr="00C74625" w:rsidRDefault="00C74625" w:rsidP="001853CF">
      <w:pPr>
        <w:spacing w:line="480" w:lineRule="auto"/>
      </w:pPr>
      <w:r w:rsidRPr="00C74625">
        <w:rPr>
          <w:b/>
          <w:bCs/>
        </w:rPr>
        <w:t>Pilot Initiative:</w:t>
      </w:r>
      <w:r>
        <w:t xml:space="preserve"> </w:t>
      </w:r>
      <w:r w:rsidRPr="00C74625">
        <w:t xml:space="preserve">Begin with a Digital Twin of one major campus </w:t>
      </w:r>
      <w:r w:rsidR="00216529">
        <w:t>location</w:t>
      </w:r>
      <w:r w:rsidR="001C415F">
        <w:t xml:space="preserve"> or functional streamflow</w:t>
      </w:r>
      <w:r w:rsidR="00A86982">
        <w:t xml:space="preserve"> (e.g., energy)</w:t>
      </w:r>
      <w:r w:rsidRPr="00C74625">
        <w:t>, collecting real-time sensor data to inform dynamic scheduling, emergency response simulations, and sustainability interventions.</w:t>
      </w:r>
    </w:p>
    <w:p w14:paraId="674C2BD9" w14:textId="02C4C191" w:rsidR="00C74625" w:rsidRPr="00C74625" w:rsidRDefault="00D6683C" w:rsidP="00C74625">
      <w:pPr>
        <w:rPr>
          <w:b/>
          <w:bCs/>
        </w:rPr>
      </w:pPr>
      <w:r>
        <w:rPr>
          <w:b/>
          <w:bCs/>
        </w:rPr>
        <w:t>3.</w:t>
      </w:r>
      <w:r w:rsidR="00C74625" w:rsidRPr="00C74625">
        <w:rPr>
          <w:b/>
          <w:bCs/>
        </w:rPr>
        <w:t>6. Student and Faculty Success: AI-Enhanced Support Systems</w:t>
      </w:r>
    </w:p>
    <w:p w14:paraId="703B022A" w14:textId="6A0BBD39" w:rsidR="00C74625" w:rsidRPr="00507C08" w:rsidRDefault="00C74625" w:rsidP="001853CF">
      <w:pPr>
        <w:spacing w:line="480" w:lineRule="auto"/>
      </w:pPr>
      <w:r w:rsidRPr="00C74625">
        <w:rPr>
          <w:b/>
          <w:bCs/>
        </w:rPr>
        <w:t>Recommendation:</w:t>
      </w:r>
      <w:r>
        <w:t xml:space="preserve"> </w:t>
      </w:r>
      <w:r w:rsidRPr="00C74625">
        <w:t>AI-powered analytics an</w:t>
      </w:r>
      <w:r w:rsidRPr="00507C08">
        <w:t>d personalized support interventions should be integrated into academic advising, faculty workload management, wellness resources, and other support services.</w:t>
      </w:r>
    </w:p>
    <w:p w14:paraId="22CEF966" w14:textId="4ED922C4" w:rsidR="00C74625" w:rsidRPr="00507C08" w:rsidRDefault="00C74625" w:rsidP="001853CF">
      <w:pPr>
        <w:pStyle w:val="pf0"/>
        <w:spacing w:line="480" w:lineRule="auto"/>
        <w:ind w:left="0"/>
        <w:rPr>
          <w:rFonts w:asciiTheme="minorHAnsi" w:hAnsiTheme="minorHAnsi"/>
          <w:sz w:val="22"/>
          <w:szCs w:val="22"/>
        </w:rPr>
      </w:pPr>
      <w:r w:rsidRPr="00507C08">
        <w:rPr>
          <w:rFonts w:asciiTheme="minorHAnsi" w:hAnsiTheme="minorHAnsi"/>
          <w:b/>
          <w:bCs/>
          <w:sz w:val="22"/>
          <w:szCs w:val="22"/>
        </w:rPr>
        <w:t>Details and Rationale:</w:t>
      </w:r>
      <w:r w:rsidRPr="00507C08">
        <w:rPr>
          <w:rFonts w:asciiTheme="minorHAnsi" w:hAnsiTheme="minorHAnsi"/>
          <w:sz w:val="22"/>
          <w:szCs w:val="22"/>
        </w:rPr>
        <w:t xml:space="preserve"> Participants envisioned predictive analytics that could identify students at risk of disengagement, recommend timely academic resources, and connect students to mental health </w:t>
      </w:r>
      <w:r w:rsidR="00507C08" w:rsidRPr="00507C08">
        <w:rPr>
          <w:rFonts w:asciiTheme="minorHAnsi" w:hAnsiTheme="minorHAnsi" w:cs="Segoe UI"/>
          <w:sz w:val="22"/>
          <w:szCs w:val="22"/>
        </w:rPr>
        <w:t>and other success supports.</w:t>
      </w:r>
      <w:r w:rsidRPr="00507C08">
        <w:rPr>
          <w:rFonts w:asciiTheme="minorHAnsi" w:hAnsiTheme="minorHAnsi"/>
          <w:sz w:val="22"/>
          <w:szCs w:val="22"/>
        </w:rPr>
        <w:t xml:space="preserve"> For faculty, smart workload dashboards could anticipate bottlenecks or burnout, and flag opportunities for collaboration or relief.</w:t>
      </w:r>
    </w:p>
    <w:p w14:paraId="79428682" w14:textId="27E8EC1E" w:rsidR="00C74625" w:rsidRPr="00C74625" w:rsidRDefault="00C74625" w:rsidP="001853CF">
      <w:pPr>
        <w:spacing w:line="480" w:lineRule="auto"/>
      </w:pPr>
      <w:r w:rsidRPr="00C74625">
        <w:rPr>
          <w:b/>
          <w:bCs/>
        </w:rPr>
        <w:lastRenderedPageBreak/>
        <w:t>Discussion Points:</w:t>
      </w:r>
      <w:r>
        <w:t xml:space="preserve"> </w:t>
      </w:r>
      <w:r w:rsidRPr="00C74625">
        <w:t xml:space="preserve">Workshop groups were insistent on the need for robust governance and transparency, including opt-outs and continual oversight to ensure that “support” does not become “surveillance.” Collaboration with ethics and legal experts will be essential to </w:t>
      </w:r>
      <w:r w:rsidR="000D1543" w:rsidRPr="00C74625">
        <w:t>earn</w:t>
      </w:r>
      <w:r w:rsidRPr="00C74625">
        <w:t xml:space="preserve"> community trust.</w:t>
      </w:r>
    </w:p>
    <w:p w14:paraId="082F1BDF" w14:textId="0374B96C" w:rsidR="00C74625" w:rsidRPr="00C74625" w:rsidRDefault="00C74625" w:rsidP="001853CF">
      <w:pPr>
        <w:spacing w:line="480" w:lineRule="auto"/>
      </w:pPr>
      <w:r w:rsidRPr="00C74625">
        <w:rPr>
          <w:b/>
          <w:bCs/>
        </w:rPr>
        <w:t>Pilot Initiative:</w:t>
      </w:r>
      <w:r>
        <w:t xml:space="preserve"> </w:t>
      </w:r>
      <w:r w:rsidRPr="00C74625">
        <w:t xml:space="preserve">Pilot program within the advising center integrates AI-driven early </w:t>
      </w:r>
      <w:r w:rsidR="00216529">
        <w:t>alert</w:t>
      </w:r>
      <w:r w:rsidRPr="00C74625">
        <w:t xml:space="preserve"> systems, with clear data privacy agreements and opt-in protocols.</w:t>
      </w:r>
    </w:p>
    <w:p w14:paraId="124CEA32" w14:textId="7E2F47E0" w:rsidR="00C74625" w:rsidRPr="00C74625" w:rsidRDefault="00D6683C" w:rsidP="00C74625">
      <w:pPr>
        <w:rPr>
          <w:b/>
          <w:bCs/>
        </w:rPr>
      </w:pPr>
      <w:r>
        <w:rPr>
          <w:b/>
          <w:bCs/>
        </w:rPr>
        <w:t>3.</w:t>
      </w:r>
      <w:r w:rsidR="00C74625" w:rsidRPr="00C74625">
        <w:rPr>
          <w:b/>
          <w:bCs/>
        </w:rPr>
        <w:t>7. Responsible Governance, Ethics, and Privacy in AI Deployment</w:t>
      </w:r>
    </w:p>
    <w:p w14:paraId="2BC12BC6" w14:textId="72E50BF7" w:rsidR="00C74625" w:rsidRPr="00C74625" w:rsidRDefault="00C74625" w:rsidP="001853CF">
      <w:pPr>
        <w:spacing w:line="480" w:lineRule="auto"/>
      </w:pPr>
      <w:r w:rsidRPr="00C74625">
        <w:rPr>
          <w:b/>
          <w:bCs/>
        </w:rPr>
        <w:t>Recommendation:</w:t>
      </w:r>
      <w:r>
        <w:t xml:space="preserve"> </w:t>
      </w:r>
      <w:r w:rsidRPr="00C74625">
        <w:t>UF must establish and continually update robust governance frameworks for AI deployment, balancing innovation with the highest standards for ethics, privacy, access, and bias mitigation.</w:t>
      </w:r>
      <w:r w:rsidR="00CA3881">
        <w:t xml:space="preserve"> </w:t>
      </w:r>
    </w:p>
    <w:p w14:paraId="2CB919D5" w14:textId="728CE80A" w:rsidR="00C74625" w:rsidRPr="00C74625" w:rsidRDefault="00C74625" w:rsidP="001853CF">
      <w:pPr>
        <w:spacing w:line="480" w:lineRule="auto"/>
      </w:pPr>
      <w:r w:rsidRPr="00C74625">
        <w:rPr>
          <w:b/>
          <w:bCs/>
        </w:rPr>
        <w:t>Details and Rationale:</w:t>
      </w:r>
      <w:r>
        <w:t xml:space="preserve"> </w:t>
      </w:r>
      <w:r w:rsidRPr="00C74625">
        <w:t>Throughout the process, concern was voiced about unintended consequences</w:t>
      </w:r>
      <w:r w:rsidR="00FA7435">
        <w:t xml:space="preserve"> - </w:t>
      </w:r>
      <w:r w:rsidRPr="00C74625">
        <w:t xml:space="preserve">algorithmic bias, unequal impact, surveillance, </w:t>
      </w:r>
      <w:r w:rsidR="003B4C01">
        <w:t xml:space="preserve">energy and resource usage, </w:t>
      </w:r>
      <w:r w:rsidRPr="00C74625">
        <w:t>and data exploitation. The community called for a standing AI Ethics Review Committee, modeled on institutional review boards, and for the inclusion of diverse student and community voices in governance.</w:t>
      </w:r>
      <w:r w:rsidR="00CA3881">
        <w:t xml:space="preserve"> Another component </w:t>
      </w:r>
      <w:r w:rsidR="00986477">
        <w:t>concerned</w:t>
      </w:r>
      <w:r w:rsidR="00CE25D2">
        <w:t xml:space="preserve"> </w:t>
      </w:r>
      <w:r w:rsidR="00320714">
        <w:t>maintaining data standard</w:t>
      </w:r>
      <w:r w:rsidR="000A3510">
        <w:t>s</w:t>
      </w:r>
      <w:r w:rsidR="00320714">
        <w:t xml:space="preserve"> and quality as a driving component behind all </w:t>
      </w:r>
      <w:r w:rsidR="000A3510">
        <w:t xml:space="preserve">AI. Likewise, </w:t>
      </w:r>
      <w:r w:rsidR="00A21D5C">
        <w:t>cyber security and linkages to infrastructure should be considered in responsible governance.</w:t>
      </w:r>
    </w:p>
    <w:p w14:paraId="5420BE1E" w14:textId="77777777" w:rsidR="00C74625" w:rsidRPr="00C74625" w:rsidRDefault="00C74625" w:rsidP="001853CF">
      <w:pPr>
        <w:spacing w:line="480" w:lineRule="auto"/>
      </w:pPr>
      <w:r w:rsidRPr="00C74625">
        <w:rPr>
          <w:b/>
          <w:bCs/>
        </w:rPr>
        <w:t>Key Priorities:</w:t>
      </w:r>
    </w:p>
    <w:p w14:paraId="072A7884" w14:textId="260A8FB9" w:rsidR="00C74625" w:rsidRPr="00C74625" w:rsidRDefault="00C74625" w:rsidP="001853CF">
      <w:pPr>
        <w:numPr>
          <w:ilvl w:val="0"/>
          <w:numId w:val="3"/>
        </w:numPr>
        <w:spacing w:line="480" w:lineRule="auto"/>
      </w:pPr>
      <w:r w:rsidRPr="00C74625">
        <w:t>Develop guidelines on data use, model transparency, and recourse for harms or errors.</w:t>
      </w:r>
    </w:p>
    <w:p w14:paraId="035E1DD9" w14:textId="36F0F47B" w:rsidR="00C74625" w:rsidRPr="00C74625" w:rsidRDefault="00C74625" w:rsidP="001853CF">
      <w:pPr>
        <w:numPr>
          <w:ilvl w:val="0"/>
          <w:numId w:val="3"/>
        </w:numPr>
        <w:spacing w:line="480" w:lineRule="auto"/>
      </w:pPr>
      <w:r w:rsidRPr="00C74625">
        <w:t>Require open communication and documentation for all significant AI-based decision-support systems</w:t>
      </w:r>
      <w:r w:rsidR="00341E0C">
        <w:t xml:space="preserve"> adopted</w:t>
      </w:r>
      <w:r w:rsidR="0068121E">
        <w:t xml:space="preserve"> broadly</w:t>
      </w:r>
      <w:r w:rsidRPr="00C74625">
        <w:t>.</w:t>
      </w:r>
    </w:p>
    <w:p w14:paraId="7457830A" w14:textId="44EF4DD2" w:rsidR="00C74625" w:rsidRPr="00C74625" w:rsidRDefault="00C74625" w:rsidP="001853CF">
      <w:pPr>
        <w:spacing w:line="480" w:lineRule="auto"/>
      </w:pPr>
      <w:r w:rsidRPr="00C74625">
        <w:rPr>
          <w:b/>
          <w:bCs/>
        </w:rPr>
        <w:lastRenderedPageBreak/>
        <w:t>Pilot Initiative:</w:t>
      </w:r>
      <w:r>
        <w:t xml:space="preserve"> </w:t>
      </w:r>
      <w:r w:rsidRPr="00C74625">
        <w:t xml:space="preserve">Launch a university-wide </w:t>
      </w:r>
      <w:r w:rsidR="00E15510">
        <w:t>conversation</w:t>
      </w:r>
      <w:r w:rsidRPr="00C74625">
        <w:t xml:space="preserve"> on AI governance, culminating in a published set of </w:t>
      </w:r>
      <w:r w:rsidR="0068121E">
        <w:t>guidelines</w:t>
      </w:r>
      <w:r w:rsidRPr="00C74625">
        <w:t xml:space="preserve"> and procedures for ethical AI use in university operations.</w:t>
      </w:r>
    </w:p>
    <w:p w14:paraId="48085DDE" w14:textId="1D1ACAAD" w:rsidR="00C74625" w:rsidRPr="00C74625" w:rsidRDefault="009875FA" w:rsidP="00C74625">
      <w:pPr>
        <w:rPr>
          <w:b/>
          <w:bCs/>
        </w:rPr>
      </w:pPr>
      <w:r>
        <w:rPr>
          <w:b/>
          <w:bCs/>
        </w:rPr>
        <w:t>3.8.</w:t>
      </w:r>
      <w:r w:rsidR="00F3012D">
        <w:rPr>
          <w:b/>
          <w:bCs/>
        </w:rPr>
        <w:t xml:space="preserve"> </w:t>
      </w:r>
      <w:r w:rsidR="00C74625" w:rsidRPr="00C74625">
        <w:rPr>
          <w:b/>
          <w:bCs/>
        </w:rPr>
        <w:t>Integrative Impact and Institutional Learning</w:t>
      </w:r>
    </w:p>
    <w:p w14:paraId="313078B3" w14:textId="34FB31BE" w:rsidR="001A1D16" w:rsidRDefault="001A1D16" w:rsidP="00EE1683">
      <w:pPr>
        <w:spacing w:line="480" w:lineRule="auto"/>
        <w:ind w:firstLine="720"/>
      </w:pPr>
      <w:r w:rsidRPr="001A1D16">
        <w:t xml:space="preserve">The recommendations above are mutually reinforcing and designed to be iterative: each enables a feedback loop of experimentation, evidence-gathering, assessment, and continuous improvement. </w:t>
      </w:r>
      <w:r w:rsidR="004B5417">
        <w:t>T</w:t>
      </w:r>
      <w:r w:rsidRPr="001A1D16">
        <w:t>he Taskforce's report concludes that a university-wide, participatory approach</w:t>
      </w:r>
      <w:r w:rsidR="00C9138F">
        <w:t xml:space="preserve"> </w:t>
      </w:r>
      <w:r w:rsidRPr="001A1D16">
        <w:t>featuring robust ethical guardrails and sustained investment in people and infrastructure</w:t>
      </w:r>
      <w:r w:rsidR="00C9138F">
        <w:t xml:space="preserve"> </w:t>
      </w:r>
      <w:r w:rsidRPr="001A1D16">
        <w:t>is essential not only for successful AI adoption, but also for the preservation of the integrity of academic AI integration.</w:t>
      </w:r>
    </w:p>
    <w:p w14:paraId="0DD05BB6" w14:textId="7E54075A" w:rsidR="003D340B" w:rsidRPr="00F35E7C" w:rsidRDefault="00396903" w:rsidP="001A1D16">
      <w:pPr>
        <w:rPr>
          <w:b/>
          <w:bCs/>
        </w:rPr>
      </w:pPr>
      <w:r>
        <w:rPr>
          <w:b/>
          <w:bCs/>
        </w:rPr>
        <w:t xml:space="preserve">3.9 </w:t>
      </w:r>
      <w:r w:rsidR="00C62C1A">
        <w:rPr>
          <w:b/>
          <w:bCs/>
        </w:rPr>
        <w:t xml:space="preserve">The Model of </w:t>
      </w:r>
      <w:r w:rsidR="003D340B" w:rsidRPr="00F35E7C">
        <w:rPr>
          <w:b/>
          <w:bCs/>
        </w:rPr>
        <w:t>AI Trans</w:t>
      </w:r>
      <w:r w:rsidR="00F35E7C" w:rsidRPr="00F35E7C">
        <w:rPr>
          <w:b/>
          <w:bCs/>
        </w:rPr>
        <w:t>formation at UF</w:t>
      </w:r>
    </w:p>
    <w:p w14:paraId="62851CA7" w14:textId="77777777" w:rsidR="00AC1163" w:rsidRPr="00227910" w:rsidRDefault="00AC1163" w:rsidP="00EE1683">
      <w:pPr>
        <w:spacing w:line="480" w:lineRule="auto"/>
        <w:ind w:firstLine="720"/>
        <w:rPr>
          <w:rFonts w:cs="Calibri"/>
        </w:rPr>
      </w:pPr>
      <w:r w:rsidRPr="00227910">
        <w:rPr>
          <w:rFonts w:cs="Calibri"/>
        </w:rPr>
        <w:t xml:space="preserve">UF is building an overarching AI Factory to create a university wide ecosystem in which all AI assistants and agents become interoperable using standard interfaces for processing and exchanging data. The AI Factory will serve as the central hub for UF’s AI activities across academic disciplines, AI specializations, and university operations. Intellectual oversight will come from one or more advisory boards with </w:t>
      </w:r>
      <w:r w:rsidRPr="00227910">
        <w:rPr>
          <w:rFonts w:cs="Calibri"/>
          <w:color w:val="000000" w:themeColor="text1"/>
        </w:rPr>
        <w:t>members from UF colleges, centers, institutes, other academic institutions, industry, and the public sector to incorporate perspectives from across the vast world of AI. This far-reaching model for AI interconnectivity has never been done at this scale before in higher education.</w:t>
      </w:r>
    </w:p>
    <w:p w14:paraId="27A91008" w14:textId="28D80A96" w:rsidR="00AC1163" w:rsidRPr="00227910" w:rsidRDefault="00AC1163" w:rsidP="00EE1683">
      <w:pPr>
        <w:spacing w:line="480" w:lineRule="auto"/>
        <w:ind w:firstLine="720"/>
        <w:rPr>
          <w:rFonts w:cs="Calibri"/>
        </w:rPr>
      </w:pPr>
      <w:r w:rsidRPr="00227910">
        <w:rPr>
          <w:rStyle w:val="cf01"/>
          <w:rFonts w:asciiTheme="minorHAnsi" w:hAnsiTheme="minorHAnsi" w:cs="Calibri"/>
          <w:sz w:val="22"/>
          <w:szCs w:val="22"/>
        </w:rPr>
        <w:t xml:space="preserve">The AI Factory is the key to integrating agentic AI across the university and beyond. </w:t>
      </w:r>
      <w:r w:rsidRPr="00E0244E">
        <w:rPr>
          <w:rStyle w:val="cf01"/>
          <w:rFonts w:asciiTheme="minorHAnsi" w:hAnsiTheme="minorHAnsi" w:cs="Calibri"/>
          <w:sz w:val="22"/>
          <w:szCs w:val="22"/>
        </w:rPr>
        <w:t>Agentic AI refers to AI systems designed to act autonomously to achieve specific goals, going beyond simply responding to prompts or generating content. Unlike generative AI, which focuses on creating outputs based on input, agentic AI can initiate actions, plan tasks, and execute them with minimal or no human intervention. Essentially, it</w:t>
      </w:r>
      <w:r w:rsidR="00EE1683">
        <w:rPr>
          <w:rStyle w:val="cf01"/>
          <w:rFonts w:asciiTheme="minorHAnsi" w:hAnsiTheme="minorHAnsi" w:cs="Calibri"/>
          <w:sz w:val="22"/>
          <w:szCs w:val="22"/>
        </w:rPr>
        <w:t xml:space="preserve"> i</w:t>
      </w:r>
      <w:r w:rsidRPr="00E0244E">
        <w:rPr>
          <w:rStyle w:val="cf01"/>
          <w:rFonts w:asciiTheme="minorHAnsi" w:hAnsiTheme="minorHAnsi" w:cs="Calibri"/>
          <w:sz w:val="22"/>
          <w:szCs w:val="22"/>
        </w:rPr>
        <w:t xml:space="preserve">s about AI agents that can sense, reason, and act to achieve defined objectives. </w:t>
      </w:r>
      <w:r>
        <w:rPr>
          <w:rStyle w:val="cf01"/>
          <w:rFonts w:asciiTheme="minorHAnsi" w:hAnsiTheme="minorHAnsi" w:cs="Calibri"/>
          <w:sz w:val="22"/>
          <w:szCs w:val="22"/>
        </w:rPr>
        <w:t>The AI factory</w:t>
      </w:r>
      <w:r w:rsidRPr="00227910">
        <w:rPr>
          <w:rStyle w:val="cf01"/>
          <w:rFonts w:asciiTheme="minorHAnsi" w:hAnsiTheme="minorHAnsi" w:cs="Calibri"/>
          <w:sz w:val="22"/>
          <w:szCs w:val="22"/>
        </w:rPr>
        <w:t xml:space="preserve"> will </w:t>
      </w:r>
      <w:r w:rsidRPr="00227910">
        <w:rPr>
          <w:rFonts w:cs="Calibri"/>
        </w:rPr>
        <w:t xml:space="preserve">ensure all resources speak the same language </w:t>
      </w:r>
      <w:r w:rsidRPr="00227910">
        <w:rPr>
          <w:rFonts w:cs="Calibri"/>
        </w:rPr>
        <w:lastRenderedPageBreak/>
        <w:t xml:space="preserve">throughout this complex, interdisciplinary enterprise and help other partners understand how to make agentic AI interoperable across their fields. </w:t>
      </w:r>
      <w:r>
        <w:rPr>
          <w:rFonts w:cs="Calibri"/>
        </w:rPr>
        <w:t xml:space="preserve">UF invested </w:t>
      </w:r>
      <w:r w:rsidRPr="00227910">
        <w:rPr>
          <w:rFonts w:cs="Calibri"/>
        </w:rPr>
        <w:t>significant resources around infrastructure to support HiPerGator</w:t>
      </w:r>
      <w:r w:rsidR="001D1C23">
        <w:rPr>
          <w:rFonts w:cs="Calibri"/>
        </w:rPr>
        <w:t>, UF’s high-performance computing environment,</w:t>
      </w:r>
      <w:r w:rsidRPr="00227910">
        <w:rPr>
          <w:rFonts w:cs="Calibri"/>
        </w:rPr>
        <w:t xml:space="preserve"> and to ensure </w:t>
      </w:r>
      <w:r w:rsidR="007A50C7">
        <w:rPr>
          <w:rFonts w:cs="Calibri"/>
        </w:rPr>
        <w:t xml:space="preserve">widespread </w:t>
      </w:r>
      <w:r w:rsidRPr="00227910">
        <w:rPr>
          <w:rFonts w:cs="Calibri"/>
        </w:rPr>
        <w:t>supercomputing access to all. R</w:t>
      </w:r>
      <w:bookmarkStart w:id="2" w:name="_Hlk193969125"/>
      <w:r w:rsidRPr="00227910">
        <w:rPr>
          <w:rFonts w:cs="Calibri"/>
          <w:color w:val="000000"/>
          <w:kern w:val="0"/>
          <w14:ligatures w14:val="none"/>
        </w:rPr>
        <w:t>esearch software engineers, data scientists and other experts will launch, sustain and refine this expansive AI ecosystem</w:t>
      </w:r>
      <w:r>
        <w:rPr>
          <w:rFonts w:cs="Calibri"/>
          <w:color w:val="000000"/>
          <w:kern w:val="0"/>
          <w14:ligatures w14:val="none"/>
        </w:rPr>
        <w:t xml:space="preserve"> as well as enable access to faculty and student researchers across campus</w:t>
      </w:r>
      <w:r w:rsidRPr="00227910">
        <w:rPr>
          <w:rFonts w:cs="Calibri"/>
        </w:rPr>
        <w:t>.</w:t>
      </w:r>
    </w:p>
    <w:bookmarkEnd w:id="2"/>
    <w:p w14:paraId="0F95D2F6" w14:textId="7B179194" w:rsidR="00F35E7C" w:rsidRPr="00C74625" w:rsidRDefault="00F35E7C" w:rsidP="00337820">
      <w:pPr>
        <w:spacing w:line="480" w:lineRule="auto"/>
        <w:ind w:firstLine="720"/>
      </w:pPr>
      <w:r w:rsidRPr="001A1D16">
        <w:t xml:space="preserve">In this </w:t>
      </w:r>
      <w:r w:rsidR="00EE1683">
        <w:t xml:space="preserve">UF framework or </w:t>
      </w:r>
      <w:r w:rsidRPr="001A1D16">
        <w:t>model</w:t>
      </w:r>
      <w:r>
        <w:t xml:space="preserve"> (Figure 1)</w:t>
      </w:r>
      <w:r w:rsidRPr="001A1D16">
        <w:t>, the core "Foundational Investments" are identified as AI Literacy</w:t>
      </w:r>
      <w:r>
        <w:t xml:space="preserve">, </w:t>
      </w:r>
      <w:r w:rsidR="007A50C7">
        <w:t xml:space="preserve">the </w:t>
      </w:r>
      <w:r>
        <w:t>AI Factory, the Supercomputer HiPerGator,</w:t>
      </w:r>
      <w:r w:rsidR="001B4E27">
        <w:t xml:space="preserve"> Data,</w:t>
      </w:r>
      <w:r w:rsidRPr="001A1D16">
        <w:t xml:space="preserve"> and Faculty/Student Success</w:t>
      </w:r>
      <w:r w:rsidR="00B40CB6">
        <w:t xml:space="preserve">: </w:t>
      </w:r>
      <w:r w:rsidRPr="001A1D16">
        <w:t xml:space="preserve">areas that the Taskforce deemed essential for driving transformative change and realizing the full potential of AI across the university. The "Domains" surrounding these foundations are Operations, Research, </w:t>
      </w:r>
      <w:r>
        <w:t>Service, Community Outreach</w:t>
      </w:r>
      <w:r w:rsidR="00114238">
        <w:t>, I</w:t>
      </w:r>
      <w:r w:rsidR="00A815A8">
        <w:t xml:space="preserve">ndustry </w:t>
      </w:r>
      <w:r w:rsidR="00114238">
        <w:t>P</w:t>
      </w:r>
      <w:r w:rsidR="00A815A8">
        <w:t>artners</w:t>
      </w:r>
      <w:r>
        <w:t xml:space="preserve">, K-12, </w:t>
      </w:r>
      <w:r w:rsidRPr="001A1D16">
        <w:t>and Teaching, representing the key functional areas where AI-powered innovation can be strategically applied.</w:t>
      </w:r>
      <w:r>
        <w:t xml:space="preserve"> </w:t>
      </w:r>
      <w:r w:rsidRPr="001A1D16">
        <w:t>Anchoring the framework as the "Outer Enablers" are</w:t>
      </w:r>
      <w:r w:rsidR="00A85F27">
        <w:t xml:space="preserve"> the AI</w:t>
      </w:r>
      <w:r w:rsidR="00A85F27">
        <w:rPr>
          <w:vertAlign w:val="superscript"/>
        </w:rPr>
        <w:t>2</w:t>
      </w:r>
      <w:r w:rsidR="00A85F27">
        <w:t xml:space="preserve"> Center and the AIIRI as the academic and research focused hubs</w:t>
      </w:r>
      <w:r w:rsidR="002605FB">
        <w:t xml:space="preserve"> of AI at UF</w:t>
      </w:r>
      <w:r w:rsidR="00A85F27">
        <w:t xml:space="preserve"> respectively</w:t>
      </w:r>
      <w:r w:rsidR="002605FB">
        <w:t>, and then</w:t>
      </w:r>
      <w:r w:rsidRPr="001A1D16">
        <w:t xml:space="preserve"> Digital Twins, Assistants and Agents, </w:t>
      </w:r>
      <w:r>
        <w:t xml:space="preserve">AI Advisory Boards, </w:t>
      </w:r>
      <w:r w:rsidRPr="001A1D16">
        <w:t>and Ethical AI Governance. These elements serve as the platforms, tools, and ethical safeguards necessary to power the envisioned AI transformation. Notably, the prominence of AI-powered personal assistants and more advanced agents aligns with the recommendation outlined in the previous section, highlighting their crucial role in delivering holistic, context-aware support to the university community.</w:t>
      </w:r>
      <w:r>
        <w:t xml:space="preserve"> </w:t>
      </w:r>
      <w:r w:rsidRPr="001A1D16">
        <w:t xml:space="preserve">Overall, this model </w:t>
      </w:r>
      <w:r>
        <w:t xml:space="preserve">(Figure 1) </w:t>
      </w:r>
      <w:r w:rsidRPr="001A1D16">
        <w:t>underscores the Taskforce's belief that a strategic, multi-faceted, and sustained approach to AI adoption is necessary to achieve the university's ambitious goals. Th</w:t>
      </w:r>
      <w:r>
        <w:t>is model</w:t>
      </w:r>
      <w:r w:rsidRPr="001A1D16">
        <w:t xml:space="preserve"> provides a roadmap for how the various recommendations can be synergistically implemented to drive transformative change across UF, with AI Literacy</w:t>
      </w:r>
      <w:r>
        <w:t xml:space="preserve">, </w:t>
      </w:r>
      <w:r w:rsidR="00E112A0">
        <w:t xml:space="preserve">the </w:t>
      </w:r>
      <w:r>
        <w:t xml:space="preserve">AI Factory, </w:t>
      </w:r>
      <w:r w:rsidR="009311FA">
        <w:t>D</w:t>
      </w:r>
      <w:r w:rsidR="00E112A0">
        <w:t xml:space="preserve">ata, </w:t>
      </w:r>
      <w:r>
        <w:t xml:space="preserve">the </w:t>
      </w:r>
      <w:r w:rsidR="002E603C">
        <w:t>s</w:t>
      </w:r>
      <w:r>
        <w:t>upercomputer HiPerGator,</w:t>
      </w:r>
      <w:r w:rsidRPr="001A1D16">
        <w:t xml:space="preserve"> and Faculty/Student Success serving as the foundational pillars upon which the university's AI-driven future will be built.</w:t>
      </w:r>
    </w:p>
    <w:p w14:paraId="47C2C42D" w14:textId="77777777" w:rsidR="009311FA" w:rsidRPr="003A0CC6" w:rsidRDefault="009311FA" w:rsidP="009311FA">
      <w:pPr>
        <w:rPr>
          <w:b/>
          <w:bCs/>
        </w:rPr>
      </w:pPr>
      <w:r>
        <w:rPr>
          <w:b/>
          <w:bCs/>
        </w:rPr>
        <w:lastRenderedPageBreak/>
        <w:t>4.</w:t>
      </w:r>
      <w:r w:rsidRPr="003A0CC6">
        <w:rPr>
          <w:b/>
          <w:bCs/>
        </w:rPr>
        <w:t xml:space="preserve"> Discussion</w:t>
      </w:r>
    </w:p>
    <w:p w14:paraId="15ECD88E" w14:textId="15FF9084" w:rsidR="009311FA" w:rsidRPr="003A0CC6" w:rsidRDefault="009311FA" w:rsidP="005B1D9C">
      <w:pPr>
        <w:spacing w:line="480" w:lineRule="auto"/>
        <w:ind w:firstLine="720"/>
      </w:pPr>
      <w:r w:rsidRPr="003A0CC6">
        <w:t xml:space="preserve">The findings of the </w:t>
      </w:r>
      <w:r>
        <w:t>UF</w:t>
      </w:r>
      <w:r w:rsidRPr="003A0CC6">
        <w:t xml:space="preserve"> </w:t>
      </w:r>
      <w:r w:rsidRPr="00B60A11">
        <w:rPr>
          <w:i/>
          <w:iCs/>
        </w:rPr>
        <w:t xml:space="preserve">AI </w:t>
      </w:r>
      <w:r w:rsidR="00F21428">
        <w:rPr>
          <w:i/>
          <w:iCs/>
        </w:rPr>
        <w:t>Blue-sky</w:t>
      </w:r>
      <w:r w:rsidRPr="00B60A11">
        <w:rPr>
          <w:i/>
          <w:iCs/>
        </w:rPr>
        <w:t xml:space="preserve"> Visioning Taskforce</w:t>
      </w:r>
      <w:r w:rsidRPr="003A0CC6">
        <w:t xml:space="preserve"> reflect both the promise and complexities confronting higher education as artificial intelligence continues to reshape the sector. Across the world, universities are striving to harness AI to not only improve teaching and research but also to transform institutional operations</w:t>
      </w:r>
      <w:r>
        <w:t xml:space="preserve"> and efficiencies</w:t>
      </w:r>
      <w:r w:rsidRPr="003A0CC6">
        <w:t>, access, and student support (</w:t>
      </w:r>
      <w:r w:rsidR="005B1D9C" w:rsidRPr="003A0CC6">
        <w:t>UNESCO, 2021</w:t>
      </w:r>
      <w:r w:rsidR="005B1D9C">
        <w:t xml:space="preserve">; </w:t>
      </w:r>
      <w:r w:rsidRPr="003A0CC6">
        <w:t>Holmes</w:t>
      </w:r>
      <w:r>
        <w:t xml:space="preserve"> et. al.</w:t>
      </w:r>
      <w:r w:rsidRPr="003A0CC6">
        <w:t xml:space="preserve">, 2019; Zawacki-Richter et al., 2019). UF’s </w:t>
      </w:r>
      <w:r w:rsidR="00F21428">
        <w:t>blue-sky</w:t>
      </w:r>
      <w:r w:rsidRPr="003A0CC6">
        <w:t xml:space="preserve"> visioning process, which engaged broad campus participation and encouraged unconstrained ideation, illustrates a maturing shift in institutional strategy: moving from isolated, experimental pilots</w:t>
      </w:r>
      <w:r>
        <w:t xml:space="preserve"> initiated by a small group</w:t>
      </w:r>
      <w:r w:rsidRPr="003A0CC6">
        <w:t xml:space="preserve"> to comprehensive, institution-level planning and capacity building</w:t>
      </w:r>
      <w:r>
        <w:t xml:space="preserve"> formulated from broad representation</w:t>
      </w:r>
      <w:r w:rsidRPr="003A0CC6">
        <w:t>.</w:t>
      </w:r>
    </w:p>
    <w:p w14:paraId="7B683C9B" w14:textId="77777777" w:rsidR="00651270" w:rsidRPr="003A0CC6" w:rsidRDefault="00651270" w:rsidP="00651270">
      <w:pPr>
        <w:spacing w:line="480" w:lineRule="auto"/>
        <w:ind w:firstLine="720"/>
      </w:pPr>
      <w:r w:rsidRPr="003A0CC6">
        <w:t>A key outcome of the process is the central emphasis on AI-powered personalized learning and student advising. The recommendations for campus-wide, adaptive AI assistants</w:t>
      </w:r>
      <w:r>
        <w:t xml:space="preserve">, and </w:t>
      </w:r>
      <w:r w:rsidRPr="003A352A">
        <w:t>more strategically, advanced AI agents</w:t>
      </w:r>
      <w:r>
        <w:t>,</w:t>
      </w:r>
      <w:r w:rsidRPr="003A0CC6">
        <w:t xml:space="preserve"> and context-aware tutoring systems echo what Holmes et al. (2019) describe as a primary opportunity area for higher education</w:t>
      </w:r>
      <w:r>
        <w:t xml:space="preserve">, </w:t>
      </w:r>
      <w:r w:rsidRPr="003A0CC6">
        <w:t xml:space="preserve">using AI’s power to tailor learning pathways, support diverse student needs, and operate at scale. These ambitions are not merely technological but are closely linked to </w:t>
      </w:r>
      <w:r>
        <w:t>a</w:t>
      </w:r>
      <w:r w:rsidRPr="003A0CC6">
        <w:t xml:space="preserve"> broader mission of </w:t>
      </w:r>
      <w:r>
        <w:t xml:space="preserve">greater </w:t>
      </w:r>
      <w:r w:rsidRPr="003A0CC6">
        <w:t xml:space="preserve">access and student success. </w:t>
      </w:r>
    </w:p>
    <w:p w14:paraId="68E9F460" w14:textId="77777777" w:rsidR="00651270" w:rsidRPr="003A0CC6" w:rsidRDefault="00651270" w:rsidP="00651270">
      <w:pPr>
        <w:spacing w:line="480" w:lineRule="auto"/>
        <w:ind w:firstLine="720"/>
      </w:pPr>
      <w:r w:rsidRPr="003A0CC6">
        <w:t xml:space="preserve">The UF vision also places a distinctive emphasis on the research mission, with the concept of a Living Lab and the creation of interdisciplinary “AI collaboratories.” This approach mirrors what Zawacki-Richter and colleagues (2019) have identified as a growing, yet still emergent, trend: embedding AI within the very fabric of research infrastructure to accelerate interdisciplinary collaboration and knowledge creation. By envisioning robust data-sharing ecosystems and shared platforms supported by institutional investment, UF positions itself at the leading edge of the digital </w:t>
      </w:r>
      <w:r w:rsidRPr="003A0CC6">
        <w:lastRenderedPageBreak/>
        <w:t>research university. This integrated model stands in productive contrast to settings where AI in research is fragmented, siloed, or left as an individual or departmental initiative.</w:t>
      </w:r>
    </w:p>
    <w:p w14:paraId="7ACA50F4" w14:textId="77777777" w:rsidR="00AC1163" w:rsidRPr="001A1D16" w:rsidRDefault="00AC1163" w:rsidP="001A1D16"/>
    <w:p w14:paraId="4687DC8D" w14:textId="45F67DF5" w:rsidR="00232297" w:rsidRDefault="00A43652" w:rsidP="00232297">
      <w:pPr>
        <w:pStyle w:val="NormalWeb"/>
      </w:pPr>
      <w:r>
        <w:rPr>
          <w:noProof/>
          <w14:ligatures w14:val="standardContextual"/>
        </w:rPr>
        <w:drawing>
          <wp:inline distT="0" distB="0" distL="0" distR="0" wp14:anchorId="1C4AE7CA" wp14:editId="1539A442">
            <wp:extent cx="5943600" cy="5943600"/>
            <wp:effectExtent l="0" t="0" r="0" b="0"/>
            <wp:docPr id="1416034751" name="Picture 1" descr="A diagram of a company's financial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34751" name="Picture 1" descr="A diagram of a company's financial system&#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2355E00" w14:textId="09ED4FD5" w:rsidR="00C132AA" w:rsidRDefault="00C132AA" w:rsidP="00630C56">
      <w:pPr>
        <w:jc w:val="center"/>
      </w:pPr>
    </w:p>
    <w:p w14:paraId="258F6F83" w14:textId="0C95EB31" w:rsidR="00C132AA" w:rsidRPr="00E30AFA" w:rsidRDefault="00C132AA" w:rsidP="00C74625">
      <w:pPr>
        <w:rPr>
          <w:i/>
          <w:iCs/>
        </w:rPr>
      </w:pPr>
      <w:r w:rsidRPr="00E30AFA">
        <w:rPr>
          <w:i/>
          <w:iCs/>
        </w:rPr>
        <w:t xml:space="preserve">Figure 1: </w:t>
      </w:r>
      <w:r w:rsidR="00253308" w:rsidRPr="00253308">
        <w:rPr>
          <w:i/>
          <w:iCs/>
        </w:rPr>
        <w:t xml:space="preserve">University of Florida AI Transformation </w:t>
      </w:r>
      <w:r w:rsidR="000F6082">
        <w:rPr>
          <w:i/>
          <w:iCs/>
        </w:rPr>
        <w:t>Model</w:t>
      </w:r>
      <w:r w:rsidR="00253308" w:rsidRPr="00253308">
        <w:rPr>
          <w:i/>
          <w:iCs/>
        </w:rPr>
        <w:t>: A Campus</w:t>
      </w:r>
      <w:r w:rsidR="00253308" w:rsidRPr="00253308">
        <w:rPr>
          <w:rFonts w:ascii="Cambria Math" w:hAnsi="Cambria Math" w:cs="Cambria Math"/>
          <w:i/>
          <w:iCs/>
        </w:rPr>
        <w:t>‑</w:t>
      </w:r>
      <w:r w:rsidR="00253308" w:rsidRPr="00253308">
        <w:rPr>
          <w:i/>
          <w:iCs/>
        </w:rPr>
        <w:t xml:space="preserve">Wide </w:t>
      </w:r>
      <w:r w:rsidR="000F6082">
        <w:rPr>
          <w:i/>
          <w:iCs/>
        </w:rPr>
        <w:t>Framework</w:t>
      </w:r>
      <w:r w:rsidR="00253308" w:rsidRPr="00253308">
        <w:rPr>
          <w:i/>
          <w:iCs/>
        </w:rPr>
        <w:t xml:space="preserve"> Linking Foundational Investments, Strategic Domains, and Outer Enablers</w:t>
      </w:r>
    </w:p>
    <w:p w14:paraId="517535AB" w14:textId="77777777" w:rsidR="00C62C1A" w:rsidRDefault="00C62C1A" w:rsidP="003A0CC6">
      <w:pPr>
        <w:rPr>
          <w:b/>
          <w:bCs/>
        </w:rPr>
      </w:pPr>
    </w:p>
    <w:p w14:paraId="0A2001AD" w14:textId="5C6DE31F" w:rsidR="003A0CC6" w:rsidRDefault="003A0CC6" w:rsidP="00A47210">
      <w:pPr>
        <w:spacing w:line="480" w:lineRule="auto"/>
        <w:ind w:firstLine="720"/>
      </w:pPr>
      <w:r w:rsidRPr="003A0CC6">
        <w:lastRenderedPageBreak/>
        <w:t>Operational transformation is another cornerstone of the roadmap. The idea of deploying a campus Digital Twin</w:t>
      </w:r>
      <w:r w:rsidR="000D61E9">
        <w:t xml:space="preserve">, </w:t>
      </w:r>
      <w:r w:rsidRPr="003A0CC6">
        <w:t>a dynamic, data-driven simulation of the physical and social university environment</w:t>
      </w:r>
      <w:r w:rsidR="000D61E9">
        <w:t xml:space="preserve">, </w:t>
      </w:r>
      <w:r w:rsidRPr="003A0CC6">
        <w:t>draws on forward-leaning models outlined by Baker</w:t>
      </w:r>
      <w:r w:rsidR="00A47210">
        <w:t xml:space="preserve"> et al.</w:t>
      </w:r>
      <w:r w:rsidRPr="003A0CC6">
        <w:t>, (2019), where smart campus concepts become vehicles for energy efficiency, resource optimization, and improved campus life. Few higher education institutions have yet approached this level of operational integration; UF’s decision to prioritize this as a strategic pilot signals a willingness to treat digital transformation as central to the university’s infrastructure rather than a technological afterthought.</w:t>
      </w:r>
    </w:p>
    <w:p w14:paraId="017B8AD4" w14:textId="77777777" w:rsidR="00ED288B" w:rsidRDefault="003A0CC6" w:rsidP="00F75D29">
      <w:pPr>
        <w:spacing w:line="480" w:lineRule="auto"/>
        <w:ind w:firstLine="720"/>
      </w:pPr>
      <w:r w:rsidRPr="003A0CC6">
        <w:t xml:space="preserve">Essential to the realization of each of these domains is the investment in people and the creation of an ethically grounded culture of AI literacy. As both UNESCO (2021) and Holmes et al. (2019) stress, AI will only fulfill its educational promise if students, faculty, and staff have the skills and conceptual grounding to work with, critique, and shape AI systems. UF’s comprehensive vision for upskilling all community members through </w:t>
      </w:r>
      <w:r w:rsidR="00FF3706">
        <w:t xml:space="preserve">investment in </w:t>
      </w:r>
      <w:r w:rsidRPr="003A0CC6">
        <w:t>programs like the AI</w:t>
      </w:r>
      <w:r w:rsidRPr="00E0244E">
        <w:rPr>
          <w:vertAlign w:val="superscript"/>
        </w:rPr>
        <w:t>2</w:t>
      </w:r>
      <w:r w:rsidRPr="003A0CC6">
        <w:t xml:space="preserve"> Center responds directly to these calls for institutional responsibility in building digital capacity and democratizing expertise. Such investments are necessary to address what Selwyn (2019) and others warn may be the expansion of digital divides, ensuring all community members can participate meaningfully in AI-powered futures.</w:t>
      </w:r>
      <w:r w:rsidR="00E0244E">
        <w:t xml:space="preserve"> </w:t>
      </w:r>
      <w:r w:rsidRPr="003A0CC6">
        <w:t xml:space="preserve">Of course, the rapid integration of AI does not come without ethical, governance, and organizational challenges. As Selwyn (2019) points out, the risks of algorithmic bias, threats to privacy, and the possibility of eroding core academic values cannot be overlooked. </w:t>
      </w:r>
    </w:p>
    <w:p w14:paraId="5BEC7173" w14:textId="2F515C86" w:rsidR="00665EDD" w:rsidRDefault="003A0CC6" w:rsidP="00F75D29">
      <w:pPr>
        <w:spacing w:line="480" w:lineRule="auto"/>
        <w:ind w:firstLine="720"/>
      </w:pPr>
      <w:r w:rsidRPr="003A0CC6">
        <w:t xml:space="preserve">The </w:t>
      </w:r>
      <w:r w:rsidR="00D565EC">
        <w:t>T</w:t>
      </w:r>
      <w:r w:rsidRPr="003A0CC6">
        <w:t xml:space="preserve">askforce’s recommendations to embed ethics and robust governance frameworks within each major initiative reflect the sector’s increasing awareness that technology must be guided by transparent, participatory oversight. Only through such mechanisms can universities mitigate the unintended consequences of automation and maintain trust with students and the wider </w:t>
      </w:r>
      <w:r w:rsidR="004E4189">
        <w:t>community</w:t>
      </w:r>
      <w:r w:rsidRPr="003A0CC6">
        <w:t>.</w:t>
      </w:r>
      <w:r w:rsidR="003433C1">
        <w:t xml:space="preserve"> </w:t>
      </w:r>
      <w:r w:rsidR="002B0D3E" w:rsidRPr="002B0D3E">
        <w:t xml:space="preserve">The UF technology ecosystem that supports the AI </w:t>
      </w:r>
      <w:r w:rsidR="00F21428">
        <w:t>Blue-sky</w:t>
      </w:r>
      <w:r w:rsidR="002B0D3E" w:rsidRPr="002B0D3E">
        <w:t xml:space="preserve"> transformation undergoes regular, independent information security assessments against nationally recognized </w:t>
      </w:r>
      <w:r w:rsidR="002B0D3E" w:rsidRPr="002B0D3E">
        <w:lastRenderedPageBreak/>
        <w:t>frameworks to verify control design and operating effectiveness. These include NIST SP 800-171 (National Institute of Standards and Technology Special Publication 800-171: Protecting Controlled Unclassified Information in Nonfederal Systems and Organizations</w:t>
      </w:r>
      <w:r w:rsidR="0068276A">
        <w:t xml:space="preserve">; </w:t>
      </w:r>
      <w:r w:rsidR="0068276A" w:rsidRPr="00B83007">
        <w:t>Ross</w:t>
      </w:r>
      <w:r w:rsidR="0068276A">
        <w:t xml:space="preserve"> &amp;</w:t>
      </w:r>
      <w:r w:rsidR="0068276A" w:rsidRPr="00B83007">
        <w:t xml:space="preserve"> Pillitteri</w:t>
      </w:r>
      <w:r w:rsidR="0068276A">
        <w:t xml:space="preserve">, </w:t>
      </w:r>
      <w:r w:rsidR="0068276A" w:rsidRPr="00B83007">
        <w:t>2024</w:t>
      </w:r>
      <w:r w:rsidR="002B0D3E" w:rsidRPr="002B0D3E">
        <w:t>), which specifies 110 security requirements across 14 control families for safeguarding Controlled Unclassified Information (CUI), and the HITRUST CSF (Health Information Trust Common Security Framework), a certifiable, risk</w:t>
      </w:r>
      <w:r w:rsidR="002B0D3E" w:rsidRPr="002B0D3E">
        <w:rPr>
          <w:rFonts w:ascii="Cambria Math" w:hAnsi="Cambria Math" w:cs="Cambria Math"/>
        </w:rPr>
        <w:t>‑</w:t>
      </w:r>
      <w:r w:rsidR="002B0D3E" w:rsidRPr="002B0D3E">
        <w:t>based security and privacy framework widely adopted in healthcare that harmonizes requirements from HIPAA, NIST, ISO/IEC 27001/27002, PCI DSS, GDPR, and related standards. Third</w:t>
      </w:r>
      <w:r w:rsidR="002B0D3E" w:rsidRPr="002B0D3E">
        <w:rPr>
          <w:rFonts w:ascii="Cambria Math" w:hAnsi="Cambria Math" w:cs="Cambria Math"/>
        </w:rPr>
        <w:t>‑</w:t>
      </w:r>
      <w:r w:rsidR="002B0D3E" w:rsidRPr="002B0D3E">
        <w:t>party reviews typically combine policy and technical control evaluation, targeted penetration testing, and evidence</w:t>
      </w:r>
      <w:r w:rsidR="002B0D3E" w:rsidRPr="002B0D3E">
        <w:rPr>
          <w:rFonts w:ascii="Cambria Math" w:hAnsi="Cambria Math" w:cs="Cambria Math"/>
        </w:rPr>
        <w:t>‑</w:t>
      </w:r>
      <w:r w:rsidR="002B0D3E" w:rsidRPr="002B0D3E">
        <w:t>based audits to confirm continuous compliance and risk reduction for research, instructional, clinical, and operational data.</w:t>
      </w:r>
    </w:p>
    <w:p w14:paraId="2E9E6751" w14:textId="1E20A492" w:rsidR="003A0CC6" w:rsidRPr="003A0CC6" w:rsidRDefault="003A0CC6" w:rsidP="00C210EA">
      <w:pPr>
        <w:spacing w:line="480" w:lineRule="auto"/>
        <w:ind w:firstLine="720"/>
      </w:pPr>
      <w:r w:rsidRPr="003A0CC6">
        <w:t xml:space="preserve">Taken together, the </w:t>
      </w:r>
      <w:r w:rsidRPr="00762E11">
        <w:t xml:space="preserve">UF </w:t>
      </w:r>
      <w:r w:rsidR="00F21428" w:rsidRPr="00D641B1">
        <w:rPr>
          <w:i/>
          <w:iCs/>
        </w:rPr>
        <w:t>Blue-</w:t>
      </w:r>
      <w:r w:rsidR="003659CF" w:rsidRPr="00D641B1">
        <w:rPr>
          <w:i/>
          <w:iCs/>
        </w:rPr>
        <w:t>S</w:t>
      </w:r>
      <w:r w:rsidR="00F21428" w:rsidRPr="00D641B1">
        <w:rPr>
          <w:i/>
          <w:iCs/>
        </w:rPr>
        <w:t>ky</w:t>
      </w:r>
      <w:r w:rsidRPr="00D641B1">
        <w:rPr>
          <w:i/>
          <w:iCs/>
        </w:rPr>
        <w:t xml:space="preserve"> Visioning </w:t>
      </w:r>
      <w:r w:rsidR="00D641B1" w:rsidRPr="00D641B1">
        <w:rPr>
          <w:i/>
          <w:iCs/>
        </w:rPr>
        <w:t>Taskforce</w:t>
      </w:r>
      <w:r w:rsidR="00D641B1">
        <w:t xml:space="preserve"> </w:t>
      </w:r>
      <w:r w:rsidRPr="003A0CC6">
        <w:t xml:space="preserve">process offers a valuable model for universities worldwide. Rather than approaching AI adoption as a series of disconnected proofs-of-concept, UF has </w:t>
      </w:r>
      <w:r w:rsidR="007A3F40">
        <w:t>invested and placed value on</w:t>
      </w:r>
      <w:r w:rsidRPr="003A0CC6">
        <w:t xml:space="preserve"> a unified vision rooted in institutional mission and community co-creation. By explicitly prioritizing both digital infrastructure and human capital, and by embedding ethics and governance, UF’s approach addresses critiques in the scholarly literature that warn against “technology-first” transformation (Baker et al., 2019) and instead advances a more holistic, human-centered strategy.</w:t>
      </w:r>
      <w:r w:rsidR="00E0244E">
        <w:t xml:space="preserve"> </w:t>
      </w:r>
      <w:r w:rsidR="00042B06">
        <w:t>A</w:t>
      </w:r>
      <w:r w:rsidRPr="003A0CC6">
        <w:t xml:space="preserve">s higher education faces growing competitive and societal pressures, those institutions willing to undertake broad-based, participatory planning and to lead with institutional </w:t>
      </w:r>
      <w:r w:rsidR="008C4C03">
        <w:t>principles</w:t>
      </w:r>
      <w:r w:rsidRPr="003A0CC6">
        <w:t xml:space="preserve"> are more likely to realize AI’s benefits while safeguarding their core missions. </w:t>
      </w:r>
    </w:p>
    <w:p w14:paraId="2F21C608" w14:textId="0EBDC84A" w:rsidR="00525423" w:rsidRPr="00525423" w:rsidRDefault="00F3012D" w:rsidP="00525423">
      <w:pPr>
        <w:rPr>
          <w:b/>
          <w:bCs/>
        </w:rPr>
      </w:pPr>
      <w:r>
        <w:rPr>
          <w:b/>
          <w:bCs/>
        </w:rPr>
        <w:t xml:space="preserve">5. </w:t>
      </w:r>
      <w:r w:rsidR="00525423" w:rsidRPr="00525423">
        <w:rPr>
          <w:b/>
          <w:bCs/>
        </w:rPr>
        <w:t>Conclusion</w:t>
      </w:r>
    </w:p>
    <w:p w14:paraId="2D2C00AD" w14:textId="5E55176F" w:rsidR="00525423" w:rsidRPr="00525423" w:rsidRDefault="00525423" w:rsidP="00575072">
      <w:pPr>
        <w:spacing w:line="480" w:lineRule="auto"/>
        <w:ind w:firstLine="720"/>
      </w:pPr>
      <w:r w:rsidRPr="00525423">
        <w:t xml:space="preserve">The University of Florida’s </w:t>
      </w:r>
      <w:r w:rsidRPr="00575072">
        <w:rPr>
          <w:i/>
          <w:iCs/>
        </w:rPr>
        <w:t xml:space="preserve">AI </w:t>
      </w:r>
      <w:r w:rsidR="00F21428">
        <w:rPr>
          <w:i/>
          <w:iCs/>
        </w:rPr>
        <w:t>Blue-sky</w:t>
      </w:r>
      <w:r w:rsidRPr="00575072">
        <w:rPr>
          <w:i/>
          <w:iCs/>
        </w:rPr>
        <w:t xml:space="preserve"> Visioning Taskforce</w:t>
      </w:r>
      <w:r w:rsidRPr="00525423">
        <w:t xml:space="preserve"> represents a proactive and collaborative approach to navigating </w:t>
      </w:r>
      <w:r w:rsidR="001803EE">
        <w:t>and develop</w:t>
      </w:r>
      <w:r w:rsidR="00A81EB6">
        <w:t>ing</w:t>
      </w:r>
      <w:r w:rsidR="001803EE">
        <w:t xml:space="preserve"> approaches to</w:t>
      </w:r>
      <w:r w:rsidR="00A81EB6">
        <w:t xml:space="preserve"> contribute to </w:t>
      </w:r>
      <w:r w:rsidRPr="00525423">
        <w:t xml:space="preserve">the rapidly evolving landscape of </w:t>
      </w:r>
      <w:r w:rsidR="00E0244E">
        <w:t>AI</w:t>
      </w:r>
      <w:r w:rsidRPr="00525423">
        <w:t xml:space="preserve"> in higher education. By intentionally centering </w:t>
      </w:r>
      <w:r w:rsidR="00F21428">
        <w:t>blue-sky</w:t>
      </w:r>
      <w:r w:rsidRPr="00525423">
        <w:t xml:space="preserve"> thinking as a </w:t>
      </w:r>
      <w:r w:rsidRPr="00525423">
        <w:lastRenderedPageBreak/>
        <w:t>catalyst for creativity and inclusion, a precedent</w:t>
      </w:r>
      <w:r w:rsidR="00E31C19">
        <w:t xml:space="preserve"> has been set</w:t>
      </w:r>
      <w:r w:rsidRPr="00525423">
        <w:t xml:space="preserve"> for imagining and planning institutional transformation that is purposefully </w:t>
      </w:r>
      <w:r w:rsidR="0061455F" w:rsidRPr="00525423">
        <w:t>future facing</w:t>
      </w:r>
      <w:r w:rsidRPr="00525423">
        <w:t xml:space="preserve">. The participatory nature of the process ensured that diverse voices and expertise from across the university were engaged, </w:t>
      </w:r>
      <w:r w:rsidR="00B76482">
        <w:t>realizing</w:t>
      </w:r>
      <w:r w:rsidRPr="00525423">
        <w:t xml:space="preserve"> a wide array of imaginative possibilities as well as constructive concerns around ethics, equity, and</w:t>
      </w:r>
      <w:r w:rsidR="005E049F">
        <w:t xml:space="preserve"> education</w:t>
      </w:r>
      <w:r w:rsidRPr="00525423">
        <w:t>.</w:t>
      </w:r>
      <w:r w:rsidR="005E049F">
        <w:t xml:space="preserve"> </w:t>
      </w:r>
      <w:r w:rsidRPr="00525423">
        <w:t xml:space="preserve">The process yielded a </w:t>
      </w:r>
      <w:r w:rsidR="00BB4307">
        <w:t>proposed path for AI across many sectors of campus</w:t>
      </w:r>
      <w:r w:rsidR="00B57E7C">
        <w:t xml:space="preserve"> encompassing all campus stakeholders. Initiatives included advancing</w:t>
      </w:r>
      <w:r w:rsidRPr="00525423">
        <w:t xml:space="preserve"> AI integration across teaching, research, campus operations, and outreach </w:t>
      </w:r>
      <w:r w:rsidR="00B57E7C">
        <w:t>in</w:t>
      </w:r>
      <w:r w:rsidRPr="00525423">
        <w:t xml:space="preserve"> a holistic, system-wide </w:t>
      </w:r>
      <w:r w:rsidR="00B57E7C">
        <w:t>approach</w:t>
      </w:r>
      <w:r w:rsidRPr="00525423">
        <w:t xml:space="preserve">. </w:t>
      </w:r>
      <w:r w:rsidR="00B57E7C">
        <w:t>Initiatives included</w:t>
      </w:r>
      <w:r w:rsidRPr="00525423">
        <w:t xml:space="preserve"> </w:t>
      </w:r>
      <w:r w:rsidR="00F03197">
        <w:t>concepts</w:t>
      </w:r>
      <w:r w:rsidRPr="00525423">
        <w:t xml:space="preserve"> to create AI collaboratories, implement personalized learning and advising systems, and embed AI literacy and critical engagement throughout the curriculum. </w:t>
      </w:r>
      <w:r w:rsidR="003877C6">
        <w:t>The administration will prioritize and order implementation of initiatives</w:t>
      </w:r>
      <w:r w:rsidR="007F5FF0">
        <w:t>, and that</w:t>
      </w:r>
      <w:r w:rsidR="00A81FFB">
        <w:t xml:space="preserve"> </w:t>
      </w:r>
      <w:r w:rsidRPr="00525423">
        <w:t>will depend on continued investment in capacity building</w:t>
      </w:r>
      <w:r w:rsidR="00A52692">
        <w:t xml:space="preserve">, </w:t>
      </w:r>
      <w:r w:rsidRPr="00525423">
        <w:t>both technological and human</w:t>
      </w:r>
      <w:r w:rsidR="00A52692">
        <w:t xml:space="preserve">, </w:t>
      </w:r>
      <w:r w:rsidRPr="00525423">
        <w:t>and the development of rigorous frameworks to ensure responsible, transparent, and equitable use of AI tools.</w:t>
      </w:r>
    </w:p>
    <w:p w14:paraId="4C4D8ED4" w14:textId="4C83963B" w:rsidR="0031415C" w:rsidRPr="00261581" w:rsidRDefault="00F03197" w:rsidP="00C27881">
      <w:pPr>
        <w:spacing w:line="480" w:lineRule="auto"/>
        <w:ind w:firstLine="720"/>
      </w:pPr>
      <w:r>
        <w:t>T</w:t>
      </w:r>
      <w:r w:rsidR="00525423" w:rsidRPr="00525423">
        <w:t xml:space="preserve">he journey is not without its challenges. The </w:t>
      </w:r>
      <w:r w:rsidR="00F21428">
        <w:t>blue-sky</w:t>
      </w:r>
      <w:r w:rsidR="00525423" w:rsidRPr="00525423">
        <w:t xml:space="preserve"> </w:t>
      </w:r>
      <w:r w:rsidR="00D11E81">
        <w:t>workshop participants expressed</w:t>
      </w:r>
      <w:r w:rsidR="00525423" w:rsidRPr="00525423">
        <w:t xml:space="preserve"> anxieties around privacy, algorithmic bias, </w:t>
      </w:r>
      <w:r w:rsidR="00C74C2F">
        <w:t xml:space="preserve">environmental impact, </w:t>
      </w:r>
      <w:r w:rsidR="00525423" w:rsidRPr="00525423">
        <w:t xml:space="preserve">resource disparities, </w:t>
      </w:r>
      <w:r w:rsidR="00C74C2F">
        <w:t xml:space="preserve">resource use, </w:t>
      </w:r>
      <w:r w:rsidR="00525423" w:rsidRPr="00525423">
        <w:t>and the risk of undermining human judgment or academic trust</w:t>
      </w:r>
      <w:r w:rsidR="002F266D">
        <w:t>, as well as the need</w:t>
      </w:r>
      <w:r w:rsidR="00EC5FFF">
        <w:t xml:space="preserve"> to create an understanding that AI is for all (including non-technical students and spaces)</w:t>
      </w:r>
      <w:r w:rsidR="00525423" w:rsidRPr="00525423">
        <w:t xml:space="preserve">. Navigating these tensions requires robust governance structures, sustained </w:t>
      </w:r>
      <w:r w:rsidR="00BA0914">
        <w:t>communication</w:t>
      </w:r>
      <w:r w:rsidR="00525423" w:rsidRPr="00525423">
        <w:t>, and a willingness to continually adapt as the field matures. Importantly, the process illuminated that successful implementation transcends technological adoption</w:t>
      </w:r>
      <w:r w:rsidR="00317394">
        <w:t xml:space="preserve">, </w:t>
      </w:r>
      <w:r w:rsidR="00525423" w:rsidRPr="00525423">
        <w:t>it hinges on cultivating a campus culture ready to engage with the ethical and societal implications of AI, and on building partnerships that extend UF’s leadership beyond the university itself.</w:t>
      </w:r>
      <w:r w:rsidR="00261581">
        <w:t xml:space="preserve"> </w:t>
      </w:r>
      <w:r w:rsidR="00525423" w:rsidRPr="00525423">
        <w:t>UF’s experience offers an adaptable model for other institutions seeking to chart their own AI futures. Through structured foresight, inclusive</w:t>
      </w:r>
      <w:r w:rsidR="009B6574">
        <w:t xml:space="preserve"> and open-call</w:t>
      </w:r>
      <w:r w:rsidR="00525423" w:rsidRPr="00525423">
        <w:t xml:space="preserve"> participation, and principled strategic planning, universities can align their AI trajectories with</w:t>
      </w:r>
      <w:r w:rsidR="004A457A">
        <w:t xml:space="preserve"> institution missions while maintain</w:t>
      </w:r>
      <w:r w:rsidR="002E590C">
        <w:t>ing</w:t>
      </w:r>
      <w:r w:rsidR="004A457A">
        <w:t xml:space="preserve"> a human center</w:t>
      </w:r>
      <w:r>
        <w:t>ed</w:t>
      </w:r>
      <w:r w:rsidR="004A457A">
        <w:t xml:space="preserve"> approach</w:t>
      </w:r>
      <w:r w:rsidR="00525423" w:rsidRPr="00525423">
        <w:t xml:space="preserve">. In doing so, they have the </w:t>
      </w:r>
      <w:r w:rsidR="00525423" w:rsidRPr="00525423">
        <w:lastRenderedPageBreak/>
        <w:t>opportunity not only to harness the transformative power of AI but also to lead broader conversations on the future of knowledge, equity, and human flourishing in an algorithmic age.</w:t>
      </w:r>
      <w:r w:rsidR="00DE58B7">
        <w:t xml:space="preserve"> </w:t>
      </w:r>
      <w:r w:rsidR="002C0FCA">
        <w:t>A</w:t>
      </w:r>
      <w:r w:rsidR="00DE58B7">
        <w:t>cademia has</w:t>
      </w:r>
      <w:r w:rsidR="002C0FCA">
        <w:t xml:space="preserve"> a unique resource in the knowledge and skills of our community and thus </w:t>
      </w:r>
      <w:r w:rsidR="00DE58B7">
        <w:t xml:space="preserve">a responsibility </w:t>
      </w:r>
      <w:r w:rsidR="002C0FCA">
        <w:t>for</w:t>
      </w:r>
      <w:r w:rsidR="00DE58B7">
        <w:t xml:space="preserve"> thoughtful </w:t>
      </w:r>
      <w:r w:rsidR="002C0FCA">
        <w:t>integration</w:t>
      </w:r>
      <w:r w:rsidR="00D12123">
        <w:t xml:space="preserve"> and leadership</w:t>
      </w:r>
      <w:r w:rsidR="002C0FCA">
        <w:t xml:space="preserve"> of</w:t>
      </w:r>
      <w:r w:rsidR="004A637A">
        <w:t xml:space="preserve"> AI </w:t>
      </w:r>
      <w:r w:rsidR="003E38C9">
        <w:t xml:space="preserve">as a tool to enhance our mission and to serve our community. </w:t>
      </w:r>
      <w:r w:rsidR="00547740">
        <w:t xml:space="preserve">The </w:t>
      </w:r>
      <w:r w:rsidR="00B01732" w:rsidRPr="00575072">
        <w:rPr>
          <w:i/>
          <w:iCs/>
        </w:rPr>
        <w:t xml:space="preserve">AI </w:t>
      </w:r>
      <w:r w:rsidR="00F21428">
        <w:rPr>
          <w:i/>
          <w:iCs/>
        </w:rPr>
        <w:t>Blue-</w:t>
      </w:r>
      <w:r w:rsidR="009055EA">
        <w:rPr>
          <w:i/>
          <w:iCs/>
        </w:rPr>
        <w:t>S</w:t>
      </w:r>
      <w:r w:rsidR="00F21428">
        <w:rPr>
          <w:i/>
          <w:iCs/>
        </w:rPr>
        <w:t>ky</w:t>
      </w:r>
      <w:r w:rsidR="00B01732" w:rsidRPr="00575072">
        <w:rPr>
          <w:i/>
          <w:iCs/>
        </w:rPr>
        <w:t xml:space="preserve"> Visioning Taskforce</w:t>
      </w:r>
      <w:r w:rsidR="00B01732" w:rsidRPr="00525423">
        <w:t xml:space="preserve"> </w:t>
      </w:r>
      <w:r w:rsidR="00297212">
        <w:t>findings</w:t>
      </w:r>
      <w:r w:rsidR="00547740">
        <w:t xml:space="preserve"> </w:t>
      </w:r>
      <w:r w:rsidR="005631B3">
        <w:t>provide a solid basis for UF to continue in a responsible</w:t>
      </w:r>
      <w:r w:rsidR="006949B7">
        <w:t xml:space="preserve"> and trailblazing</w:t>
      </w:r>
      <w:r w:rsidR="005631B3">
        <w:t xml:space="preserve"> </w:t>
      </w:r>
      <w:r w:rsidR="0039291A">
        <w:t>journey as an AI University.</w:t>
      </w:r>
      <w:r w:rsidR="00FC702A">
        <w:t xml:space="preserve"> Our success has been the result of administrative</w:t>
      </w:r>
      <w:r w:rsidR="008B31C0">
        <w:t xml:space="preserve"> vision,</w:t>
      </w:r>
      <w:r w:rsidR="00FC702A">
        <w:t xml:space="preserve"> investment and support</w:t>
      </w:r>
      <w:r w:rsidR="008B31C0">
        <w:t xml:space="preserve">; focus on campus-wide initiatives; and inclusion of all </w:t>
      </w:r>
      <w:r w:rsidR="00623358">
        <w:t>UF audiences in the process.</w:t>
      </w:r>
      <w:r w:rsidR="00FC702A">
        <w:t xml:space="preserve"> </w:t>
      </w:r>
    </w:p>
    <w:p w14:paraId="3788BC1C" w14:textId="77777777" w:rsidR="0031415C" w:rsidRDefault="0031415C"/>
    <w:p w14:paraId="3DF3F2F6" w14:textId="77777777" w:rsidR="00276B76" w:rsidRDefault="00276B76"/>
    <w:p w14:paraId="63D7A439" w14:textId="24F9FA58" w:rsidR="00665C12" w:rsidRPr="00C978AE" w:rsidRDefault="00665C12">
      <w:pPr>
        <w:rPr>
          <w:b/>
          <w:bCs/>
        </w:rPr>
      </w:pPr>
      <w:r w:rsidRPr="00901955">
        <w:br w:type="page"/>
      </w:r>
    </w:p>
    <w:p w14:paraId="32FA437E" w14:textId="78C1795D" w:rsidR="003A0CC6" w:rsidRPr="00525423" w:rsidRDefault="00525423">
      <w:pPr>
        <w:rPr>
          <w:b/>
          <w:bCs/>
        </w:rPr>
      </w:pPr>
      <w:r w:rsidRPr="00525423">
        <w:rPr>
          <w:b/>
          <w:bCs/>
        </w:rPr>
        <w:lastRenderedPageBreak/>
        <w:t>References</w:t>
      </w:r>
      <w:r w:rsidR="007320A3">
        <w:rPr>
          <w:b/>
          <w:bCs/>
        </w:rPr>
        <w:t xml:space="preserve"> </w:t>
      </w:r>
    </w:p>
    <w:p w14:paraId="1C9F6317" w14:textId="77777777" w:rsidR="00DD0475" w:rsidRDefault="00DD0475" w:rsidP="00DD0475">
      <w:r>
        <w:t xml:space="preserve">Abbasi, B. N., Wu, Y., &amp; Luo, Z. (2025). Exploring the impact of artificial intelligence on curriculum development in global higher education institutions. </w:t>
      </w:r>
      <w:r w:rsidRPr="00CB26BB">
        <w:rPr>
          <w:i/>
          <w:iCs/>
        </w:rPr>
        <w:t>Education and Information Technologies</w:t>
      </w:r>
      <w:r>
        <w:t>, 30(1), 547-581.</w:t>
      </w:r>
    </w:p>
    <w:p w14:paraId="39116050" w14:textId="1005C8D1" w:rsidR="00A6722F" w:rsidRDefault="00A6722F" w:rsidP="00A6722F">
      <w:r w:rsidRPr="00A6722F">
        <w:t xml:space="preserve">Baker, T., Smith, L., &amp; Anissa, N. (2019). </w:t>
      </w:r>
      <w:r w:rsidRPr="001853CF">
        <w:t>Educ-AI-tion rebooted: Exploring the future of artificial intelligence in schools and colleges</w:t>
      </w:r>
      <w:r w:rsidRPr="00A6722F">
        <w:rPr>
          <w:i/>
          <w:iCs/>
        </w:rPr>
        <w:t>.</w:t>
      </w:r>
      <w:r w:rsidRPr="00A6722F">
        <w:t xml:space="preserve"> </w:t>
      </w:r>
    </w:p>
    <w:p w14:paraId="469C6D1F" w14:textId="623DF15F" w:rsidR="002B7CA7" w:rsidRDefault="002B7CA7" w:rsidP="00A6722F">
      <w:r w:rsidRPr="002B7CA7">
        <w:t>Bates, T., Cobo, C., Mariño, O., &amp; Wheeler, S. (2020). Can artificial intelligence transform higher education? </w:t>
      </w:r>
      <w:r w:rsidRPr="002B7CA7">
        <w:rPr>
          <w:i/>
          <w:iCs/>
        </w:rPr>
        <w:t>International Journal of Educational Technology in Higher Education</w:t>
      </w:r>
      <w:r w:rsidRPr="002B7CA7">
        <w:t>, </w:t>
      </w:r>
      <w:r w:rsidRPr="002B7CA7">
        <w:rPr>
          <w:i/>
          <w:iCs/>
        </w:rPr>
        <w:t>17</w:t>
      </w:r>
      <w:r w:rsidRPr="002B7CA7">
        <w:t>(1), 42–s41239. </w:t>
      </w:r>
      <w:hyperlink r:id="rId32" w:history="1">
        <w:r w:rsidRPr="002B7CA7">
          <w:rPr>
            <w:rStyle w:val="Hyperlink"/>
          </w:rPr>
          <w:t>https://doi.org/10.1186/s41239-020-00218-x</w:t>
        </w:r>
      </w:hyperlink>
      <w:r w:rsidRPr="002B7CA7">
        <w:t>.</w:t>
      </w:r>
    </w:p>
    <w:p w14:paraId="4EF95A58" w14:textId="4499F374" w:rsidR="00B4310A" w:rsidRPr="00A6722F" w:rsidRDefault="00B4310A" w:rsidP="00A6722F">
      <w:r w:rsidRPr="00B4310A">
        <w:t>Childs,</w:t>
      </w:r>
      <w:r>
        <w:t xml:space="preserve"> S.</w:t>
      </w:r>
      <w:r w:rsidR="006F6821">
        <w:t>, &amp;</w:t>
      </w:r>
      <w:r w:rsidRPr="00B4310A">
        <w:t> McLeod</w:t>
      </w:r>
      <w:r w:rsidR="006F6821">
        <w:t>, J. (2013).</w:t>
      </w:r>
      <w:r w:rsidRPr="00B4310A">
        <w:t xml:space="preserve"> Tackling the wicked problem of ERM: using the Cynefin framework as a lens. </w:t>
      </w:r>
      <w:r w:rsidRPr="00B4310A">
        <w:rPr>
          <w:i/>
          <w:iCs/>
        </w:rPr>
        <w:t>Records Management Journal</w:t>
      </w:r>
      <w:r w:rsidR="00667D39">
        <w:rPr>
          <w:i/>
          <w:iCs/>
        </w:rPr>
        <w:t>,</w:t>
      </w:r>
      <w:r w:rsidRPr="00B4310A">
        <w:t> 23 (3): 191–227. </w:t>
      </w:r>
      <w:hyperlink r:id="rId33" w:tgtFrame="_blank" w:history="1">
        <w:r w:rsidRPr="00B4310A">
          <w:rPr>
            <w:rStyle w:val="Hyperlink"/>
          </w:rPr>
          <w:t>https://doi.org/10.1108/RMJ-07-2013-0016</w:t>
        </w:r>
      </w:hyperlink>
    </w:p>
    <w:p w14:paraId="6AA8B89F" w14:textId="77777777" w:rsidR="00A6722F" w:rsidRPr="00A6722F" w:rsidRDefault="00A6722F" w:rsidP="00A6722F">
      <w:r w:rsidRPr="00A6722F">
        <w:t xml:space="preserve">Dwivedi, Y. K., Hughes, D. L., Ismagilova, E., Aarts, G., Coombs, C., Crick, T., ... &amp; Williams, M. D. (2023). Artificial Intelligence (AI): Multidisciplinary perspectives on emerging challenges, opportunities, and agenda for research, practice and policy. </w:t>
      </w:r>
      <w:r w:rsidRPr="00A6722F">
        <w:rPr>
          <w:i/>
          <w:iCs/>
        </w:rPr>
        <w:t>International Journal of Information Management</w:t>
      </w:r>
      <w:r w:rsidRPr="00A6722F">
        <w:t xml:space="preserve">, 57, 102436. </w:t>
      </w:r>
      <w:hyperlink r:id="rId34" w:tgtFrame="_new" w:history="1">
        <w:r w:rsidRPr="00A6722F">
          <w:rPr>
            <w:rStyle w:val="Hyperlink"/>
          </w:rPr>
          <w:t>https://doi.org/10.1016/j.ijinfomgt.2019.08.002</w:t>
        </w:r>
      </w:hyperlink>
    </w:p>
    <w:p w14:paraId="65BFAA9D" w14:textId="77777777" w:rsidR="00A6722F" w:rsidRDefault="00A6722F" w:rsidP="00A6722F">
      <w:r w:rsidRPr="00A6722F">
        <w:t xml:space="preserve">EDUCAUSE. (2023). 2023 EDUCAUSE Horizon Report: Teaching and Learning Edition. EDUCAUSE. </w:t>
      </w:r>
      <w:hyperlink r:id="rId35" w:tgtFrame="_new" w:history="1">
        <w:r w:rsidRPr="00A6722F">
          <w:rPr>
            <w:rStyle w:val="Hyperlink"/>
          </w:rPr>
          <w:t>https://library.educause.edu/resources/2023/4/2023-educause-horizon-report-teaching-and-learning-edition</w:t>
        </w:r>
      </w:hyperlink>
    </w:p>
    <w:p w14:paraId="5E69076B" w14:textId="41FA33D2" w:rsidR="00E57CC0" w:rsidRDefault="00195B66" w:rsidP="00A6722F">
      <w:r>
        <w:t xml:space="preserve">Gray, D., Brown, S., &amp; Macanufo, J. (2010). </w:t>
      </w:r>
      <w:r w:rsidR="004C45CC">
        <w:t xml:space="preserve">Gamestorming. O’Relley Media Inc. </w:t>
      </w:r>
      <w:r w:rsidR="0095728B">
        <w:t xml:space="preserve">CA. pp. </w:t>
      </w:r>
      <w:r w:rsidR="0043265B">
        <w:t xml:space="preserve">286. </w:t>
      </w:r>
      <w:r w:rsidR="00A00F64">
        <w:t>ISBN</w:t>
      </w:r>
      <w:r w:rsidR="0043265B">
        <w:t xml:space="preserve"> </w:t>
      </w:r>
      <w:r w:rsidR="0043265B" w:rsidRPr="0043265B">
        <w:t>978-0596804176</w:t>
      </w:r>
    </w:p>
    <w:p w14:paraId="33242094" w14:textId="664FFAA7" w:rsidR="00CA6B0A" w:rsidRPr="00A6722F" w:rsidRDefault="00CA6B0A" w:rsidP="00A6722F">
      <w:r w:rsidRPr="00CA6B0A">
        <w:t xml:space="preserve">Health Information Trust Alliance. "HITRUST CSF." HITRUST, </w:t>
      </w:r>
      <w:hyperlink r:id="rId36" w:history="1">
        <w:r w:rsidR="00543530" w:rsidRPr="00675A12">
          <w:rPr>
            <w:rStyle w:val="Hyperlink"/>
          </w:rPr>
          <w:t>https://hitrustalliance.net/</w:t>
        </w:r>
      </w:hyperlink>
      <w:r w:rsidR="00543530">
        <w:t xml:space="preserve"> </w:t>
      </w:r>
      <w:r w:rsidRPr="00CA6B0A">
        <w:t xml:space="preserve"> </w:t>
      </w:r>
      <w:r w:rsidR="00543530">
        <w:t xml:space="preserve">Last </w:t>
      </w:r>
      <w:r w:rsidRPr="00CA6B0A">
        <w:t xml:space="preserve">Accessed </w:t>
      </w:r>
      <w:r w:rsidR="00543530">
        <w:t>August 2025</w:t>
      </w:r>
      <w:r w:rsidRPr="00CA6B0A">
        <w:t>.</w:t>
      </w:r>
    </w:p>
    <w:p w14:paraId="050136BC" w14:textId="77777777" w:rsidR="00A6722F" w:rsidRPr="00A6722F" w:rsidRDefault="00A6722F" w:rsidP="00A6722F">
      <w:r w:rsidRPr="00A6722F">
        <w:t xml:space="preserve">Holmes, W., Bialik, M., &amp; Fadel, C. (2019). </w:t>
      </w:r>
      <w:r w:rsidRPr="001853CF">
        <w:t>Artificial Intelligence in Education: Promises and Implications for Teaching and Learning</w:t>
      </w:r>
      <w:r w:rsidRPr="00A90173">
        <w:t>.</w:t>
      </w:r>
      <w:r w:rsidRPr="00A6722F">
        <w:t xml:space="preserve"> </w:t>
      </w:r>
      <w:r w:rsidRPr="001853CF">
        <w:rPr>
          <w:i/>
          <w:iCs/>
        </w:rPr>
        <w:t>Center for Curriculum Redesign</w:t>
      </w:r>
      <w:r w:rsidRPr="00A6722F">
        <w:t xml:space="preserve">. </w:t>
      </w:r>
      <w:hyperlink r:id="rId37" w:tgtFrame="_new" w:history="1">
        <w:r w:rsidRPr="00A6722F">
          <w:rPr>
            <w:rStyle w:val="Hyperlink"/>
          </w:rPr>
          <w:t>https://curriculumredesign.org/wp-content/uploads/AI-in-Education-Promises-and-Implications-for-Teaching-and-Learning-Holmes-et-al.pdf</w:t>
        </w:r>
      </w:hyperlink>
    </w:p>
    <w:p w14:paraId="5BF9C450" w14:textId="77777777" w:rsidR="00A26C04" w:rsidRDefault="00A26C04" w:rsidP="00A26C04">
      <w:r>
        <w:t xml:space="preserve">Kong, S. C., Korte, S. M., Burton, S., Keskitalo, P., Turunen, T., Smith, D., ... &amp; Beaton, M. C. (2025). Artificial Intelligence (AI) literacy–an argument for AI literacy in education. </w:t>
      </w:r>
      <w:r w:rsidRPr="00CB26BB">
        <w:rPr>
          <w:i/>
          <w:iCs/>
        </w:rPr>
        <w:t>Innovations in education and teaching international</w:t>
      </w:r>
      <w:r>
        <w:t>, 62(2), 477-483.</w:t>
      </w:r>
    </w:p>
    <w:p w14:paraId="1A9D7AC7" w14:textId="21E6AC23" w:rsidR="00A6722F" w:rsidRPr="00A6722F" w:rsidRDefault="00A6722F" w:rsidP="00A6722F">
      <w:r w:rsidRPr="00A6722F">
        <w:t xml:space="preserve">Lang, C. (2023). Ethical and Governance Challenges of Artificial Intelligence in Higher Education. </w:t>
      </w:r>
      <w:r w:rsidRPr="00A6722F">
        <w:rPr>
          <w:i/>
          <w:iCs/>
        </w:rPr>
        <w:t>AIS Transactions on Human-Computer Interaction, 15</w:t>
      </w:r>
      <w:r w:rsidRPr="00A6722F">
        <w:t xml:space="preserve">(1), 1–17. </w:t>
      </w:r>
      <w:hyperlink r:id="rId38" w:tgtFrame="_new" w:history="1">
        <w:r w:rsidRPr="00A6722F">
          <w:rPr>
            <w:rStyle w:val="Hyperlink"/>
          </w:rPr>
          <w:t>https://doi.org/10.17705/1thci.00170</w:t>
        </w:r>
      </w:hyperlink>
    </w:p>
    <w:p w14:paraId="1F8F4AEC" w14:textId="77777777" w:rsidR="008139F0" w:rsidRDefault="008139F0" w:rsidP="008139F0">
      <w:r>
        <w:t xml:space="preserve">Lee, I., Ali, S., Zhang, H., DiPaola, D., &amp; Breazeal, C. (2021, March). Developing middle school students' AI literacy. In </w:t>
      </w:r>
      <w:r w:rsidRPr="00CB26BB">
        <w:rPr>
          <w:i/>
          <w:iCs/>
        </w:rPr>
        <w:t>Proceedings of the 52nd ACM technical symposium on computer science education</w:t>
      </w:r>
      <w:r>
        <w:t xml:space="preserve"> (pp. 191-197).</w:t>
      </w:r>
    </w:p>
    <w:p w14:paraId="573A01F8" w14:textId="77777777" w:rsidR="008139F0" w:rsidRDefault="008139F0" w:rsidP="008139F0">
      <w:r>
        <w:lastRenderedPageBreak/>
        <w:t xml:space="preserve">Long, D., &amp; Magerko, B. (2020, April). What is AI literacy? Competencies and design considerations. In </w:t>
      </w:r>
      <w:r w:rsidRPr="00CB26BB">
        <w:rPr>
          <w:i/>
          <w:iCs/>
        </w:rPr>
        <w:t>Proceedings of the 2020 CHI conference on human factors in computing systems</w:t>
      </w:r>
      <w:r>
        <w:t xml:space="preserve"> (pp. 1-16).</w:t>
      </w:r>
    </w:p>
    <w:p w14:paraId="267BEBC7" w14:textId="637679C6" w:rsidR="00A6722F" w:rsidRPr="00A6722F" w:rsidRDefault="00A6722F" w:rsidP="00A6722F">
      <w:r w:rsidRPr="00A6722F">
        <w:t xml:space="preserve">Luckin, R., Holmes, W., Griffiths, M., &amp; Forcier, L. B. (2016). Intelligence Unleashed: An Argument for AI in Education. </w:t>
      </w:r>
      <w:r w:rsidRPr="001853CF">
        <w:rPr>
          <w:i/>
          <w:iCs/>
        </w:rPr>
        <w:t>Pearson</w:t>
      </w:r>
      <w:r w:rsidRPr="00A6722F">
        <w:t xml:space="preserve">. </w:t>
      </w:r>
      <w:hyperlink r:id="rId39" w:tgtFrame="_new" w:history="1">
        <w:r w:rsidRPr="00A6722F">
          <w:rPr>
            <w:rStyle w:val="Hyperlink"/>
          </w:rPr>
          <w:t>https://www.pearson.com/en-us/news-events/news/2016/01/artificiaI-intelligence-in-education.html</w:t>
        </w:r>
      </w:hyperlink>
    </w:p>
    <w:p w14:paraId="6FB0A4BF" w14:textId="4A7E95FE" w:rsidR="006262FF" w:rsidRDefault="006262FF" w:rsidP="00A6722F">
      <w:r>
        <w:t xml:space="preserve">Mariam, G., L. Adil, B. Zakaria. </w:t>
      </w:r>
      <w:r w:rsidR="00D93673">
        <w:t>2024. The integration of artificial intelligence (</w:t>
      </w:r>
      <w:r w:rsidR="00F02B30">
        <w:t>AI</w:t>
      </w:r>
      <w:r w:rsidR="00D93673">
        <w:t xml:space="preserve">) into educational systems and its impact on the governance of higher education institutions. </w:t>
      </w:r>
      <w:r w:rsidR="00D93673" w:rsidRPr="00424767">
        <w:rPr>
          <w:i/>
          <w:iCs/>
        </w:rPr>
        <w:t>International Journal of Professional Business Review</w:t>
      </w:r>
      <w:r w:rsidR="00D93673">
        <w:t xml:space="preserve">. </w:t>
      </w:r>
      <w:r w:rsidR="00F007F8" w:rsidRPr="00F007F8">
        <w:t> ISSN 2525-3654, ISSN-e 2525-3654, </w:t>
      </w:r>
      <w:hyperlink r:id="rId40" w:history="1">
        <w:r w:rsidR="00F007F8" w:rsidRPr="00F007F8">
          <w:rPr>
            <w:rStyle w:val="Hyperlink"/>
          </w:rPr>
          <w:t>Vol. 9, Nº. 12</w:t>
        </w:r>
      </w:hyperlink>
      <w:r w:rsidR="00E859DA">
        <w:t xml:space="preserve"> </w:t>
      </w:r>
    </w:p>
    <w:p w14:paraId="45B388AA" w14:textId="73084B52" w:rsidR="00F02B30" w:rsidRDefault="00F02B30" w:rsidP="00F02B30">
      <w:r>
        <w:t xml:space="preserve">Markauskaite, L., Marrone, R., Poquet, O., Knight, S., Martinez-Maldonado, R., Howard, S., ... &amp; Siemens, G. (2022). Rethinking the entwinement between artificial intelligence and human learning: What capabilities do learners need for a world with AI? </w:t>
      </w:r>
      <w:r w:rsidRPr="00424767">
        <w:rPr>
          <w:i/>
          <w:iCs/>
        </w:rPr>
        <w:t>Computers and Education: Artificial Intelligence</w:t>
      </w:r>
      <w:r>
        <w:t>, 3, 100056.</w:t>
      </w:r>
    </w:p>
    <w:p w14:paraId="48518133" w14:textId="6CFE3455" w:rsidR="008C126E" w:rsidRDefault="008C126E" w:rsidP="008C126E">
      <w:r>
        <w:t xml:space="preserve">Naylor, R., Baik, C., &amp; Arkoudis, S. (2017). Identifying attrition risk based on the first year experience. </w:t>
      </w:r>
      <w:r w:rsidRPr="008C126E">
        <w:rPr>
          <w:i/>
          <w:iCs/>
        </w:rPr>
        <w:t>Higher Education Research &amp; Development</w:t>
      </w:r>
      <w:r>
        <w:t xml:space="preserve">, 37(2), 328–342. </w:t>
      </w:r>
      <w:hyperlink r:id="rId41" w:history="1">
        <w:r w:rsidR="00F54F65" w:rsidRPr="00675A12">
          <w:rPr>
            <w:rStyle w:val="Hyperlink"/>
          </w:rPr>
          <w:t>https://doi.org/10.1080/07294360.2017.1370438</w:t>
        </w:r>
      </w:hyperlink>
      <w:r w:rsidR="00F54F65">
        <w:t xml:space="preserve"> </w:t>
      </w:r>
    </w:p>
    <w:p w14:paraId="122A71BF" w14:textId="77777777" w:rsidR="00A1331D" w:rsidRDefault="00A1331D" w:rsidP="00A1331D">
      <w:r>
        <w:t xml:space="preserve">Ng, D. T. K., Lee, M., Tan, R. J. Y., Hu, X., Downie, J. S., &amp; Chu, S. K. W. (2023). A review of AI teaching and learning from 2000 to 2020. </w:t>
      </w:r>
      <w:r w:rsidRPr="00424767">
        <w:rPr>
          <w:i/>
          <w:iCs/>
        </w:rPr>
        <w:t>Education and Information Technologies</w:t>
      </w:r>
      <w:r>
        <w:t>, 28(7), 8445-8501.</w:t>
      </w:r>
    </w:p>
    <w:p w14:paraId="2C57DBD1" w14:textId="580B50A7" w:rsidR="00ED3A51" w:rsidRDefault="00ED3A51" w:rsidP="00A1331D">
      <w:r w:rsidRPr="00ED3A51">
        <w:t>O’Connor, G. C., &amp; Rice, M. P. (2013). New Market Creation for Breakthrough Innovations</w:t>
      </w:r>
      <w:r w:rsidRPr="0077147C">
        <w:rPr>
          <w:i/>
          <w:iCs/>
        </w:rPr>
        <w:t xml:space="preserve">. </w:t>
      </w:r>
      <w:r w:rsidR="0077147C" w:rsidRPr="0077147C">
        <w:rPr>
          <w:i/>
          <w:iCs/>
        </w:rPr>
        <w:t> J</w:t>
      </w:r>
      <w:r w:rsidR="0077147C">
        <w:rPr>
          <w:i/>
          <w:iCs/>
        </w:rPr>
        <w:t>ournal</w:t>
      </w:r>
      <w:r w:rsidR="002E63EB">
        <w:rPr>
          <w:i/>
          <w:iCs/>
        </w:rPr>
        <w:t xml:space="preserve"> of</w:t>
      </w:r>
      <w:r w:rsidR="0077147C" w:rsidRPr="0077147C">
        <w:rPr>
          <w:i/>
          <w:iCs/>
        </w:rPr>
        <w:t xml:space="preserve"> Prod</w:t>
      </w:r>
      <w:r w:rsidR="002E63EB">
        <w:rPr>
          <w:i/>
          <w:iCs/>
        </w:rPr>
        <w:t>uction</w:t>
      </w:r>
      <w:r w:rsidR="0077147C" w:rsidRPr="0077147C">
        <w:rPr>
          <w:i/>
          <w:iCs/>
        </w:rPr>
        <w:t xml:space="preserve"> Innov</w:t>
      </w:r>
      <w:r w:rsidR="002E63EB">
        <w:rPr>
          <w:i/>
          <w:iCs/>
        </w:rPr>
        <w:t>ation</w:t>
      </w:r>
      <w:r w:rsidR="0077147C" w:rsidRPr="0077147C">
        <w:rPr>
          <w:i/>
          <w:iCs/>
        </w:rPr>
        <w:t xml:space="preserve"> Manag</w:t>
      </w:r>
      <w:r w:rsidR="002E63EB">
        <w:rPr>
          <w:i/>
          <w:iCs/>
        </w:rPr>
        <w:t>ement</w:t>
      </w:r>
      <w:r w:rsidR="0077147C" w:rsidRPr="0077147C">
        <w:rPr>
          <w:i/>
          <w:iCs/>
        </w:rPr>
        <w:t xml:space="preserve">, </w:t>
      </w:r>
      <w:r w:rsidR="0077147C" w:rsidRPr="0077147C">
        <w:t>30: 209-227. </w:t>
      </w:r>
      <w:hyperlink r:id="rId42" w:history="1">
        <w:r w:rsidR="0077147C" w:rsidRPr="0077147C">
          <w:rPr>
            <w:rStyle w:val="Hyperlink"/>
          </w:rPr>
          <w:t>https://doi.org/10.1111/j.1540-5885.2012.00996.x</w:t>
        </w:r>
      </w:hyperlink>
    </w:p>
    <w:p w14:paraId="60FEA8F5" w14:textId="24A49686" w:rsidR="008B2EBA" w:rsidRDefault="008B2EBA" w:rsidP="00A1331D">
      <w:r>
        <w:t>Ørngreen, R., &amp; Levinsen, K. (2017). Workshops as a research methodology. </w:t>
      </w:r>
      <w:r>
        <w:rPr>
          <w:i/>
          <w:iCs/>
        </w:rPr>
        <w:t>The Electronic Journal of e-learning</w:t>
      </w:r>
      <w:r>
        <w:t>, </w:t>
      </w:r>
      <w:r>
        <w:rPr>
          <w:i/>
          <w:iCs/>
        </w:rPr>
        <w:t>15</w:t>
      </w:r>
      <w:r>
        <w:t>(1), 70-81.</w:t>
      </w:r>
    </w:p>
    <w:p w14:paraId="7F98077A" w14:textId="77777777" w:rsidR="00C11917" w:rsidRDefault="00C11917" w:rsidP="00C11917">
      <w:r>
        <w:t xml:space="preserve">Pandya, B., Patterson, L., &amp; Ruhi, U. (2022). The readiness of workforce for the world of work in 2030: perceptions of university students. </w:t>
      </w:r>
      <w:r w:rsidRPr="00424767">
        <w:rPr>
          <w:i/>
          <w:iCs/>
        </w:rPr>
        <w:t>International Journal of Business Performance Management</w:t>
      </w:r>
      <w:r>
        <w:t>, 23(1-2), 54-75.</w:t>
      </w:r>
    </w:p>
    <w:p w14:paraId="47B5F152" w14:textId="36F7526F" w:rsidR="0097412C" w:rsidRDefault="0097412C" w:rsidP="00C11917">
      <w:r w:rsidRPr="0097412C">
        <w:t>Parycek, P., Schmid, V. &amp; Novak, A</w:t>
      </w:r>
      <w:r w:rsidR="00313160">
        <w:t>.</w:t>
      </w:r>
      <w:r w:rsidRPr="0097412C">
        <w:t>S.</w:t>
      </w:r>
      <w:r w:rsidR="00313160">
        <w:t xml:space="preserve"> (2024).</w:t>
      </w:r>
      <w:r w:rsidRPr="0097412C">
        <w:t xml:space="preserve"> Artificial Intelligence (AI) and Automation in Administrative Procedures: Potentials, Limitations, and Framework Conditions. </w:t>
      </w:r>
      <w:r w:rsidRPr="00CD7EBF">
        <w:rPr>
          <w:i/>
          <w:iCs/>
        </w:rPr>
        <w:t>J</w:t>
      </w:r>
      <w:r w:rsidR="00CD7EBF">
        <w:rPr>
          <w:i/>
          <w:iCs/>
        </w:rPr>
        <w:t>ournal of the</w:t>
      </w:r>
      <w:r w:rsidRPr="00CD7EBF">
        <w:rPr>
          <w:i/>
          <w:iCs/>
        </w:rPr>
        <w:t xml:space="preserve"> Knowl</w:t>
      </w:r>
      <w:r w:rsidR="00313160">
        <w:rPr>
          <w:i/>
          <w:iCs/>
        </w:rPr>
        <w:t>edge</w:t>
      </w:r>
      <w:r w:rsidRPr="00CD7EBF">
        <w:rPr>
          <w:i/>
          <w:iCs/>
        </w:rPr>
        <w:t xml:space="preserve"> Econ</w:t>
      </w:r>
      <w:r w:rsidR="00313160">
        <w:rPr>
          <w:i/>
          <w:iCs/>
        </w:rPr>
        <w:t>omy</w:t>
      </w:r>
      <w:r w:rsidRPr="0097412C">
        <w:t xml:space="preserve"> 15, 8390–8415. </w:t>
      </w:r>
      <w:hyperlink r:id="rId43" w:history="1">
        <w:r w:rsidR="00CD7EBF" w:rsidRPr="00675A12">
          <w:rPr>
            <w:rStyle w:val="Hyperlink"/>
          </w:rPr>
          <w:t>https://doi.org/10.1007/s13132-023-01433-3</w:t>
        </w:r>
      </w:hyperlink>
      <w:r w:rsidR="00CD7EBF">
        <w:t xml:space="preserve"> </w:t>
      </w:r>
    </w:p>
    <w:p w14:paraId="7B10EFB4" w14:textId="4462D7B6" w:rsidR="00A6722F" w:rsidRDefault="00A6722F" w:rsidP="00A6722F">
      <w:r w:rsidRPr="00A6722F">
        <w:t xml:space="preserve">Raffaghelli, J. E., Stewart, M., &amp; Iniesto, F. (2022). The governance of Artificial Intelligence in higher education: A systematic review and conceptual classification. </w:t>
      </w:r>
      <w:r w:rsidRPr="00A6722F">
        <w:rPr>
          <w:i/>
          <w:iCs/>
        </w:rPr>
        <w:t>AI &amp; Society</w:t>
      </w:r>
      <w:r w:rsidRPr="00A6722F">
        <w:t xml:space="preserve">. </w:t>
      </w:r>
      <w:hyperlink r:id="rId44" w:tgtFrame="_new" w:history="1">
        <w:r w:rsidRPr="00A6722F">
          <w:rPr>
            <w:rStyle w:val="Hyperlink"/>
          </w:rPr>
          <w:t>https://doi.org/10.1007/s00146-022-01542-9</w:t>
        </w:r>
      </w:hyperlink>
    </w:p>
    <w:p w14:paraId="7FF4733D" w14:textId="374447A1" w:rsidR="0034648A" w:rsidRDefault="0034648A" w:rsidP="0034648A">
      <w:r>
        <w:t xml:space="preserve">Roberts, P. (2017). Room in the clouds: </w:t>
      </w:r>
      <w:r w:rsidR="00F21428">
        <w:t>Blue-sky</w:t>
      </w:r>
      <w:r>
        <w:t xml:space="preserve"> thinking in policy and education. </w:t>
      </w:r>
      <w:r w:rsidRPr="6A3EE3ED">
        <w:rPr>
          <w:i/>
          <w:iCs/>
        </w:rPr>
        <w:t>Policy Futures in Education</w:t>
      </w:r>
      <w:r>
        <w:t xml:space="preserve">, 15(1), 6–17. </w:t>
      </w:r>
      <w:hyperlink r:id="rId45">
        <w:r w:rsidRPr="6A3EE3ED">
          <w:rPr>
            <w:rStyle w:val="Hyperlink"/>
          </w:rPr>
          <w:t>https://doi.org/10.1177/1478210316681201</w:t>
        </w:r>
      </w:hyperlink>
    </w:p>
    <w:p w14:paraId="3D9B875B" w14:textId="3839A5E7" w:rsidR="00B83007" w:rsidRDefault="00B83007" w:rsidP="0034648A">
      <w:r w:rsidRPr="00B83007">
        <w:t>Ross</w:t>
      </w:r>
      <w:r>
        <w:t>,</w:t>
      </w:r>
      <w:r w:rsidRPr="00B83007">
        <w:t xml:space="preserve"> R</w:t>
      </w:r>
      <w:r>
        <w:t>.</w:t>
      </w:r>
      <w:r w:rsidRPr="00B83007">
        <w:t>,</w:t>
      </w:r>
      <w:r>
        <w:t xml:space="preserve"> &amp;</w:t>
      </w:r>
      <w:r w:rsidRPr="00B83007">
        <w:t xml:space="preserve"> Pillitteri</w:t>
      </w:r>
      <w:r>
        <w:t>,</w:t>
      </w:r>
      <w:r w:rsidRPr="00B83007">
        <w:t xml:space="preserve"> V</w:t>
      </w:r>
      <w:r>
        <w:t>.</w:t>
      </w:r>
      <w:r w:rsidRPr="00B83007">
        <w:t xml:space="preserve"> (2024) Protecting Controlled Unclassified Information in Nonfederal Systems and Organizations. (National Institute of Standards and Technology, Gaithersburg, MD), NIST Special Publication (SP) NIST SP 800-171r3. </w:t>
      </w:r>
      <w:hyperlink r:id="rId46" w:history="1">
        <w:r w:rsidRPr="00675A12">
          <w:rPr>
            <w:rStyle w:val="Hyperlink"/>
          </w:rPr>
          <w:t>https://doi.org/10.6028/NIST.SP.800-171r3</w:t>
        </w:r>
      </w:hyperlink>
      <w:r>
        <w:t xml:space="preserve"> </w:t>
      </w:r>
    </w:p>
    <w:p w14:paraId="5FF5E0CC" w14:textId="77777777" w:rsidR="0034648A" w:rsidRDefault="0034648A" w:rsidP="0034648A">
      <w:bookmarkStart w:id="3" w:name="_Hlk207119463"/>
      <w:r>
        <w:lastRenderedPageBreak/>
        <w:t xml:space="preserve">Southworth, J., Migliaccio, K., </w:t>
      </w:r>
      <w:bookmarkEnd w:id="3"/>
      <w:r>
        <w:t xml:space="preserve">Glover, J., Glover, J. N., Reed, D., McCarty, C., ... &amp; Thomas, A. (2023). Developing a model for AI Across the curriculum: Transforming the higher education landscape via innovation in AI literacy. </w:t>
      </w:r>
      <w:r w:rsidRPr="00424767">
        <w:rPr>
          <w:i/>
          <w:iCs/>
        </w:rPr>
        <w:t>Computers and Education: Artificial Intelligence</w:t>
      </w:r>
      <w:r>
        <w:t>, 4, 100127.</w:t>
      </w:r>
    </w:p>
    <w:p w14:paraId="5F054B63" w14:textId="5DA1E482" w:rsidR="00046E86" w:rsidRDefault="00046E86" w:rsidP="0034648A">
      <w:r>
        <w:t>Southworth, J., Migliaccio, K., VanSchoik, S., (202</w:t>
      </w:r>
      <w:r w:rsidR="00755550">
        <w:t>5</w:t>
      </w:r>
      <w:r>
        <w:t xml:space="preserve">). </w:t>
      </w:r>
      <w:r w:rsidRPr="003A0CC6">
        <w:t xml:space="preserve">University of Florida AI </w:t>
      </w:r>
      <w:r w:rsidR="00F21428">
        <w:t>Blue-sky</w:t>
      </w:r>
      <w:r w:rsidRPr="003A0CC6">
        <w:t xml:space="preserve"> Visioning Taskforce. </w:t>
      </w:r>
      <w:r w:rsidR="00755550">
        <w:t>April 2025</w:t>
      </w:r>
      <w:r w:rsidRPr="003A0CC6">
        <w:t>.</w:t>
      </w:r>
      <w:r w:rsidRPr="00BC114B">
        <w:t xml:space="preserve"> Final Report: Envisioning an AI-Powered Future in Higher Education. </w:t>
      </w:r>
      <w:r w:rsidR="00755550">
        <w:t xml:space="preserve">Available at: </w:t>
      </w:r>
      <w:hyperlink r:id="rId47" w:history="1">
        <w:r w:rsidR="00755550" w:rsidRPr="00675A12">
          <w:rPr>
            <w:rStyle w:val="Hyperlink"/>
          </w:rPr>
          <w:t>https://ai.ufl.edu/media/aiufledu/resources/UF-AI-BlueSky-Task-Force-Full-Report-April-2025.pdf</w:t>
        </w:r>
      </w:hyperlink>
      <w:r w:rsidR="00755550">
        <w:t xml:space="preserve"> Last accessed August 26th 2025</w:t>
      </w:r>
    </w:p>
    <w:p w14:paraId="311F27A3" w14:textId="77777777" w:rsidR="0034648A" w:rsidRPr="00A6722F" w:rsidRDefault="0034648A" w:rsidP="0034648A">
      <w:r>
        <w:t xml:space="preserve">Scannell, M. (2012). </w:t>
      </w:r>
      <w:r w:rsidRPr="001853CF">
        <w:t>Big Book of Brainstorming Games: Quick, Effective Activities that Encourage Out-of-the-Box Thinking, Improve Collaboration, and Spark Great Ideas!</w:t>
      </w:r>
      <w:r>
        <w:t xml:space="preserve"> 224 pp., McGraw Hill</w:t>
      </w:r>
    </w:p>
    <w:p w14:paraId="76BDD2D7" w14:textId="77777777" w:rsidR="0034648A" w:rsidRPr="00A6722F" w:rsidRDefault="0034648A" w:rsidP="0034648A">
      <w:r>
        <w:t xml:space="preserve">Selwyn, N. (2019). </w:t>
      </w:r>
      <w:r w:rsidRPr="001853CF">
        <w:t>Should Robots Replace Teachers? AI and the Future of Education</w:t>
      </w:r>
      <w:r w:rsidRPr="6A3EE3ED">
        <w:rPr>
          <w:i/>
          <w:iCs/>
        </w:rPr>
        <w:t>.</w:t>
      </w:r>
      <w:r>
        <w:t xml:space="preserve"> </w:t>
      </w:r>
      <w:r w:rsidRPr="001853CF">
        <w:rPr>
          <w:i/>
          <w:iCs/>
        </w:rPr>
        <w:t>Polity Press</w:t>
      </w:r>
      <w:r>
        <w:t>.</w:t>
      </w:r>
    </w:p>
    <w:p w14:paraId="6B4E6F0D" w14:textId="77777777" w:rsidR="0034648A" w:rsidRDefault="0034648A" w:rsidP="0034648A">
      <w:r>
        <w:t xml:space="preserve">Tarisayi, K.S. 2024. Strategic leadership for responsible artificial intelligence adoption in higher education. </w:t>
      </w:r>
      <w:r w:rsidRPr="00483CC6">
        <w:rPr>
          <w:i/>
          <w:iCs/>
        </w:rPr>
        <w:t>CTE Workshop Proceedings</w:t>
      </w:r>
      <w:r>
        <w:t xml:space="preserve"> 11. </w:t>
      </w:r>
      <w:hyperlink r:id="rId48">
        <w:r w:rsidRPr="5202401C">
          <w:rPr>
            <w:rStyle w:val="Hyperlink"/>
          </w:rPr>
          <w:t>https://doi.org/10.55056/cte.616</w:t>
        </w:r>
      </w:hyperlink>
    </w:p>
    <w:p w14:paraId="3B0723C2" w14:textId="77777777" w:rsidR="0034648A" w:rsidRDefault="0034648A" w:rsidP="0034648A">
      <w:r>
        <w:t xml:space="preserve">Touretzky, D., Gardner-McCune, C., Martin, F., &amp; Seehorn, D. (2019, July). Envisioning AI for K-12: What should every child know about AI?. In </w:t>
      </w:r>
      <w:r w:rsidRPr="00483CC6">
        <w:rPr>
          <w:i/>
          <w:iCs/>
        </w:rPr>
        <w:t>Proceedings of the AAAI conference on artificial intelligence</w:t>
      </w:r>
      <w:r>
        <w:t xml:space="preserve"> (Vol. 33, No. 01, pp. 9795-9799).</w:t>
      </w:r>
    </w:p>
    <w:p w14:paraId="5B210096" w14:textId="77777777" w:rsidR="00A6722F" w:rsidRDefault="00A6722F" w:rsidP="00A6722F">
      <w:r w:rsidRPr="00A6722F">
        <w:t xml:space="preserve">UNESCO. (2021). </w:t>
      </w:r>
      <w:r w:rsidRPr="001853CF">
        <w:t>AI and education: Guidance for policy-makers</w:t>
      </w:r>
      <w:r w:rsidRPr="00A6722F">
        <w:t xml:space="preserve">. </w:t>
      </w:r>
      <w:r w:rsidRPr="001853CF">
        <w:rPr>
          <w:i/>
          <w:iCs/>
        </w:rPr>
        <w:t>Paris, UNESCO</w:t>
      </w:r>
      <w:r w:rsidRPr="00A6722F">
        <w:t xml:space="preserve">. </w:t>
      </w:r>
      <w:hyperlink r:id="rId49" w:tgtFrame="_new" w:history="1">
        <w:r w:rsidRPr="00A6722F">
          <w:rPr>
            <w:rStyle w:val="Hyperlink"/>
          </w:rPr>
          <w:t>https://unesdoc.unesco.org/ark:/48223/pf0000376709</w:t>
        </w:r>
      </w:hyperlink>
    </w:p>
    <w:p w14:paraId="580E8F3B" w14:textId="77777777" w:rsidR="0037647C" w:rsidRDefault="0037647C" w:rsidP="0037647C">
      <w:r>
        <w:t xml:space="preserve">van der Heijden, K. (2011). </w:t>
      </w:r>
      <w:r w:rsidRPr="001853CF">
        <w:t>Scenarios: The art of strategic conversation</w:t>
      </w:r>
      <w:r>
        <w:t xml:space="preserve"> (2nd ed.). </w:t>
      </w:r>
      <w:r w:rsidRPr="001853CF">
        <w:rPr>
          <w:i/>
          <w:iCs/>
        </w:rPr>
        <w:t>Wiley</w:t>
      </w:r>
      <w:r>
        <w:t>.</w:t>
      </w:r>
    </w:p>
    <w:p w14:paraId="4199B460" w14:textId="77777777" w:rsidR="0037647C" w:rsidRDefault="0037647C" w:rsidP="0037647C">
      <w:r>
        <w:t xml:space="preserve">Venkatraman, S. (2019). Designing for transformation: Foresight and future-readiness in higher education. </w:t>
      </w:r>
      <w:r w:rsidRPr="5202401C">
        <w:rPr>
          <w:i/>
          <w:iCs/>
        </w:rPr>
        <w:t>Change: The Magazine of Higher Learning</w:t>
      </w:r>
      <w:r>
        <w:t xml:space="preserve">, 51(3), 43-49. </w:t>
      </w:r>
      <w:hyperlink r:id="rId50">
        <w:r w:rsidRPr="5202401C">
          <w:rPr>
            <w:rStyle w:val="Hyperlink"/>
          </w:rPr>
          <w:t>https://doi.org/10.1080/00091383.2019.1618142</w:t>
        </w:r>
      </w:hyperlink>
    </w:p>
    <w:p w14:paraId="40A98B49" w14:textId="77777777" w:rsidR="0037647C" w:rsidRDefault="0037647C" w:rsidP="0037647C">
      <w:r>
        <w:t xml:space="preserve">Webb, P. T., Sellar, S., &amp; Gulson, K. N. (2020). Anticipating education: Governing habits, memories and policy-futures. </w:t>
      </w:r>
      <w:r w:rsidRPr="00483CC6">
        <w:rPr>
          <w:i/>
          <w:iCs/>
        </w:rPr>
        <w:t>Learning, Media and Technology</w:t>
      </w:r>
      <w:r>
        <w:t>, 45(3), 284-297.</w:t>
      </w:r>
    </w:p>
    <w:p w14:paraId="43514324" w14:textId="77777777" w:rsidR="0037647C" w:rsidRDefault="0037647C" w:rsidP="0037647C">
      <w:r>
        <w:t>Wessels, L. (2020). How South African universities can contribute to preparing the future workforce for the fourth industrial revolution (Doctoral dissertation, Stellenbosch: Stellenbosch University).</w:t>
      </w:r>
    </w:p>
    <w:p w14:paraId="1F898AD4" w14:textId="77777777" w:rsidR="0037647C" w:rsidRDefault="0037647C" w:rsidP="0037647C">
      <w:r>
        <w:t xml:space="preserve">Williams, R., Ali, S., Devasia, N., DiPaola, D., Hong, J., Kaputsos, S. P., ... &amp; Breazeal, C. (2023). AI+ ethics curricula for middle school youth: Lessons learned from three project-based curricula. </w:t>
      </w:r>
      <w:r w:rsidRPr="00483CC6">
        <w:rPr>
          <w:i/>
          <w:iCs/>
        </w:rPr>
        <w:t>International Journal of Artificial Intelligence in Education</w:t>
      </w:r>
      <w:r>
        <w:t>, 33(2), 325-383.</w:t>
      </w:r>
    </w:p>
    <w:p w14:paraId="1C20590E" w14:textId="77777777" w:rsidR="00A6722F" w:rsidRPr="00A6722F" w:rsidRDefault="00A6722F" w:rsidP="00A6722F">
      <w:r w:rsidRPr="00A6722F">
        <w:t xml:space="preserve">Williamson, B., &amp; Piattoeva, N. (2023). Education governance and datafication in the algorithmic society. </w:t>
      </w:r>
      <w:r w:rsidRPr="00A6722F">
        <w:rPr>
          <w:i/>
          <w:iCs/>
        </w:rPr>
        <w:t>Learning, Media and Technology, 48</w:t>
      </w:r>
      <w:r w:rsidRPr="00A6722F">
        <w:t xml:space="preserve">(1), 12–25. </w:t>
      </w:r>
      <w:hyperlink r:id="rId51" w:tgtFrame="_new" w:history="1">
        <w:r w:rsidRPr="00A6722F">
          <w:rPr>
            <w:rStyle w:val="Hyperlink"/>
          </w:rPr>
          <w:t>https://doi.org/10.1080/17439884.2022.2140406</w:t>
        </w:r>
      </w:hyperlink>
    </w:p>
    <w:p w14:paraId="1527E482" w14:textId="024C3CE7" w:rsidR="002E7F12" w:rsidRDefault="002E7F12" w:rsidP="00A6722F">
      <w:r w:rsidRPr="002E7F12">
        <w:t>Zawacki-Richter, O., Bai, J.Y.H., Lee, K. </w:t>
      </w:r>
      <w:r w:rsidRPr="002E7F12">
        <w:rPr>
          <w:i/>
          <w:iCs/>
        </w:rPr>
        <w:t>et al.</w:t>
      </w:r>
      <w:r w:rsidRPr="002E7F12">
        <w:t> </w:t>
      </w:r>
      <w:r>
        <w:t>(2024)</w:t>
      </w:r>
      <w:r w:rsidR="00596FA0">
        <w:t xml:space="preserve">. </w:t>
      </w:r>
      <w:r w:rsidRPr="002E7F12">
        <w:t>New advances in artificial intelligence applications in higher education?. </w:t>
      </w:r>
      <w:r w:rsidRPr="00A6722F">
        <w:rPr>
          <w:i/>
          <w:iCs/>
        </w:rPr>
        <w:t>International Journal of Educational Technology in Higher Education</w:t>
      </w:r>
      <w:r w:rsidRPr="00596FA0">
        <w:t>,</w:t>
      </w:r>
      <w:r w:rsidRPr="002E7F12">
        <w:rPr>
          <w:b/>
          <w:bCs/>
        </w:rPr>
        <w:t xml:space="preserve"> </w:t>
      </w:r>
      <w:r w:rsidRPr="00596FA0">
        <w:t>21,</w:t>
      </w:r>
      <w:r w:rsidRPr="002E7F12">
        <w:t xml:space="preserve"> 32. https://doi.org/10.1186/s41239-024-00464-3</w:t>
      </w:r>
    </w:p>
    <w:p w14:paraId="20052A68" w14:textId="2E3DD52D" w:rsidR="00A6722F" w:rsidRDefault="00A6722F" w:rsidP="00A6722F">
      <w:r w:rsidRPr="00A6722F">
        <w:t xml:space="preserve">Zawacki-Richter, O., Marín, V. I., Bond, M., &amp; Gouverneur, F. (2019). Systematic review of research on artificial intelligence applications in higher education–where are the educators? </w:t>
      </w:r>
      <w:r w:rsidRPr="00A6722F">
        <w:rPr>
          <w:i/>
          <w:iCs/>
        </w:rPr>
        <w:t xml:space="preserve">International </w:t>
      </w:r>
      <w:r w:rsidRPr="00A6722F">
        <w:rPr>
          <w:i/>
          <w:iCs/>
        </w:rPr>
        <w:lastRenderedPageBreak/>
        <w:t>Journal of Educational Technology in Higher Education</w:t>
      </w:r>
      <w:r w:rsidRPr="00A6722F">
        <w:t xml:space="preserve">, 16(1), 39. </w:t>
      </w:r>
      <w:hyperlink r:id="rId52" w:tgtFrame="_new" w:history="1">
        <w:r w:rsidRPr="00A6722F">
          <w:rPr>
            <w:rStyle w:val="Hyperlink"/>
          </w:rPr>
          <w:t>https://doi.org/10.1186/s41239-019-0171-0</w:t>
        </w:r>
      </w:hyperlink>
    </w:p>
    <w:p w14:paraId="508E5939" w14:textId="77777777" w:rsidR="00C4731D" w:rsidRDefault="00C4731D" w:rsidP="00C4731D">
      <w:r>
        <w:t>Zimmermann-Niefield, A., Turner, M., Murphy, B., Kane, S. K., &amp; Shapiro, R. B. (2019, June). Youth learning machine learning through building models of athletic moves. In Proceedings of the 18th ACM international conference on interaction design and children (pp. 121-132).</w:t>
      </w:r>
    </w:p>
    <w:p w14:paraId="0BEC765B" w14:textId="1E5D7B55" w:rsidR="00BB7181" w:rsidRDefault="006C52B1">
      <w:r>
        <w:t xml:space="preserve">2024 Work Trend Index Annual Report from Microsoft and LinkedIn. Found at: </w:t>
      </w:r>
      <w:hyperlink r:id="rId53" w:anchor="section1" w:history="1">
        <w:r w:rsidR="005E2916" w:rsidRPr="00ED51AD">
          <w:rPr>
            <w:rStyle w:val="Hyperlink"/>
          </w:rPr>
          <w:t>https://www.microsoft.com/en-us/worklab/work-trend-index/ai-at-work-is-here-now-comes-the-hard-part#section1</w:t>
        </w:r>
      </w:hyperlink>
      <w:r w:rsidR="005E2916">
        <w:t xml:space="preserve"> Last accessed July 17</w:t>
      </w:r>
      <w:r w:rsidR="005E2916" w:rsidRPr="005E2916">
        <w:rPr>
          <w:vertAlign w:val="superscript"/>
        </w:rPr>
        <w:t>th</w:t>
      </w:r>
      <w:r w:rsidR="005E2916">
        <w:t xml:space="preserve"> 2025.</w:t>
      </w:r>
    </w:p>
    <w:sectPr w:rsidR="00BB7181" w:rsidSect="006C3AB7">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BAFA" w14:textId="77777777" w:rsidR="00F51DD1" w:rsidRDefault="00F51DD1" w:rsidP="00EF4C6D">
      <w:pPr>
        <w:spacing w:after="0" w:line="240" w:lineRule="auto"/>
      </w:pPr>
      <w:r>
        <w:separator/>
      </w:r>
    </w:p>
  </w:endnote>
  <w:endnote w:type="continuationSeparator" w:id="0">
    <w:p w14:paraId="155EFEC1" w14:textId="77777777" w:rsidR="00F51DD1" w:rsidRDefault="00F51DD1" w:rsidP="00EF4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443516"/>
      <w:docPartObj>
        <w:docPartGallery w:val="Page Numbers (Bottom of Page)"/>
        <w:docPartUnique/>
      </w:docPartObj>
    </w:sdtPr>
    <w:sdtEndPr>
      <w:rPr>
        <w:noProof/>
      </w:rPr>
    </w:sdtEndPr>
    <w:sdtContent>
      <w:p w14:paraId="36EE4E9B" w14:textId="0F9A8D5A" w:rsidR="00EF4C6D" w:rsidRDefault="00EF4C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99194" w14:textId="77777777" w:rsidR="00EF4C6D" w:rsidRDefault="00EF4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CD14" w14:textId="77777777" w:rsidR="00F51DD1" w:rsidRDefault="00F51DD1" w:rsidP="00EF4C6D">
      <w:pPr>
        <w:spacing w:after="0" w:line="240" w:lineRule="auto"/>
      </w:pPr>
      <w:r>
        <w:separator/>
      </w:r>
    </w:p>
  </w:footnote>
  <w:footnote w:type="continuationSeparator" w:id="0">
    <w:p w14:paraId="599406B8" w14:textId="77777777" w:rsidR="00F51DD1" w:rsidRDefault="00F51DD1" w:rsidP="00EF4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E33"/>
    <w:multiLevelType w:val="multilevel"/>
    <w:tmpl w:val="6600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04778"/>
    <w:multiLevelType w:val="multilevel"/>
    <w:tmpl w:val="0B32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F5824"/>
    <w:multiLevelType w:val="multilevel"/>
    <w:tmpl w:val="5F12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850D0"/>
    <w:multiLevelType w:val="multilevel"/>
    <w:tmpl w:val="025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A1773B"/>
    <w:multiLevelType w:val="multilevel"/>
    <w:tmpl w:val="CDA4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751F0"/>
    <w:multiLevelType w:val="multilevel"/>
    <w:tmpl w:val="4FFA8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63C8B"/>
    <w:multiLevelType w:val="multilevel"/>
    <w:tmpl w:val="C7A460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C80EC4"/>
    <w:multiLevelType w:val="multilevel"/>
    <w:tmpl w:val="3D34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62EFA"/>
    <w:multiLevelType w:val="multilevel"/>
    <w:tmpl w:val="B64C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C02000"/>
    <w:multiLevelType w:val="multilevel"/>
    <w:tmpl w:val="9E92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1F7ADA"/>
    <w:multiLevelType w:val="multilevel"/>
    <w:tmpl w:val="807EC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F1141"/>
    <w:multiLevelType w:val="multilevel"/>
    <w:tmpl w:val="1F6E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934DB0"/>
    <w:multiLevelType w:val="multilevel"/>
    <w:tmpl w:val="606461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8025AA"/>
    <w:multiLevelType w:val="multilevel"/>
    <w:tmpl w:val="37F870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721C8F"/>
    <w:multiLevelType w:val="multilevel"/>
    <w:tmpl w:val="AF60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55645"/>
    <w:multiLevelType w:val="multilevel"/>
    <w:tmpl w:val="B9D25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9564531">
    <w:abstractNumId w:val="7"/>
  </w:num>
  <w:num w:numId="2" w16cid:durableId="1311207731">
    <w:abstractNumId w:val="9"/>
  </w:num>
  <w:num w:numId="3" w16cid:durableId="1161191676">
    <w:abstractNumId w:val="1"/>
  </w:num>
  <w:num w:numId="4" w16cid:durableId="2104840756">
    <w:abstractNumId w:val="5"/>
  </w:num>
  <w:num w:numId="5" w16cid:durableId="1059094521">
    <w:abstractNumId w:val="15"/>
  </w:num>
  <w:num w:numId="6" w16cid:durableId="138618269">
    <w:abstractNumId w:val="0"/>
  </w:num>
  <w:num w:numId="7" w16cid:durableId="2025663303">
    <w:abstractNumId w:val="4"/>
  </w:num>
  <w:num w:numId="8" w16cid:durableId="489907436">
    <w:abstractNumId w:val="2"/>
  </w:num>
  <w:num w:numId="9" w16cid:durableId="1969311346">
    <w:abstractNumId w:val="3"/>
  </w:num>
  <w:num w:numId="10" w16cid:durableId="1447626902">
    <w:abstractNumId w:val="8"/>
  </w:num>
  <w:num w:numId="11" w16cid:durableId="1755930023">
    <w:abstractNumId w:val="10"/>
  </w:num>
  <w:num w:numId="12" w16cid:durableId="1951350022">
    <w:abstractNumId w:val="6"/>
  </w:num>
  <w:num w:numId="13" w16cid:durableId="349070631">
    <w:abstractNumId w:val="12"/>
  </w:num>
  <w:num w:numId="14" w16cid:durableId="386758612">
    <w:abstractNumId w:val="13"/>
  </w:num>
  <w:num w:numId="15" w16cid:durableId="1418408210">
    <w:abstractNumId w:val="14"/>
  </w:num>
  <w:num w:numId="16" w16cid:durableId="11439349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25"/>
    <w:rsid w:val="0000173C"/>
    <w:rsid w:val="000051AA"/>
    <w:rsid w:val="0002000E"/>
    <w:rsid w:val="000217F0"/>
    <w:rsid w:val="00027F69"/>
    <w:rsid w:val="000354B5"/>
    <w:rsid w:val="00036317"/>
    <w:rsid w:val="00041CBD"/>
    <w:rsid w:val="00042B06"/>
    <w:rsid w:val="00046E86"/>
    <w:rsid w:val="000527E2"/>
    <w:rsid w:val="000635F1"/>
    <w:rsid w:val="00064509"/>
    <w:rsid w:val="0006578E"/>
    <w:rsid w:val="00066A61"/>
    <w:rsid w:val="00071F6D"/>
    <w:rsid w:val="0007218F"/>
    <w:rsid w:val="00073BC8"/>
    <w:rsid w:val="000805C8"/>
    <w:rsid w:val="00085766"/>
    <w:rsid w:val="000860A9"/>
    <w:rsid w:val="00087A33"/>
    <w:rsid w:val="000906F7"/>
    <w:rsid w:val="00091264"/>
    <w:rsid w:val="00092BC5"/>
    <w:rsid w:val="00095347"/>
    <w:rsid w:val="000A0FB1"/>
    <w:rsid w:val="000A2D70"/>
    <w:rsid w:val="000A3510"/>
    <w:rsid w:val="000B34A2"/>
    <w:rsid w:val="000B50E2"/>
    <w:rsid w:val="000B7642"/>
    <w:rsid w:val="000C00D9"/>
    <w:rsid w:val="000D1543"/>
    <w:rsid w:val="000D160A"/>
    <w:rsid w:val="000D61E9"/>
    <w:rsid w:val="000D64A6"/>
    <w:rsid w:val="000E124F"/>
    <w:rsid w:val="000E3728"/>
    <w:rsid w:val="000E575D"/>
    <w:rsid w:val="000F2D24"/>
    <w:rsid w:val="000F6082"/>
    <w:rsid w:val="000F7A12"/>
    <w:rsid w:val="00102FB5"/>
    <w:rsid w:val="00114238"/>
    <w:rsid w:val="0012182D"/>
    <w:rsid w:val="0012225E"/>
    <w:rsid w:val="00122766"/>
    <w:rsid w:val="00125058"/>
    <w:rsid w:val="001554B8"/>
    <w:rsid w:val="001603C5"/>
    <w:rsid w:val="0016774E"/>
    <w:rsid w:val="00167A2F"/>
    <w:rsid w:val="00171880"/>
    <w:rsid w:val="001803EE"/>
    <w:rsid w:val="001853CF"/>
    <w:rsid w:val="00187286"/>
    <w:rsid w:val="00195376"/>
    <w:rsid w:val="00195965"/>
    <w:rsid w:val="00195B66"/>
    <w:rsid w:val="00196D62"/>
    <w:rsid w:val="001A1D16"/>
    <w:rsid w:val="001A2F65"/>
    <w:rsid w:val="001A36F1"/>
    <w:rsid w:val="001B2613"/>
    <w:rsid w:val="001B4E27"/>
    <w:rsid w:val="001C415F"/>
    <w:rsid w:val="001D0A6F"/>
    <w:rsid w:val="001D1C23"/>
    <w:rsid w:val="001D2B9B"/>
    <w:rsid w:val="001D7594"/>
    <w:rsid w:val="001E5BA3"/>
    <w:rsid w:val="001E7E40"/>
    <w:rsid w:val="001F0BAC"/>
    <w:rsid w:val="001F1BCF"/>
    <w:rsid w:val="001F5222"/>
    <w:rsid w:val="001F764B"/>
    <w:rsid w:val="00202984"/>
    <w:rsid w:val="00206ED3"/>
    <w:rsid w:val="00207598"/>
    <w:rsid w:val="0021113D"/>
    <w:rsid w:val="00212D0C"/>
    <w:rsid w:val="00216529"/>
    <w:rsid w:val="00224295"/>
    <w:rsid w:val="00232297"/>
    <w:rsid w:val="00234CB9"/>
    <w:rsid w:val="00235E40"/>
    <w:rsid w:val="0024249B"/>
    <w:rsid w:val="002424F3"/>
    <w:rsid w:val="00243F6D"/>
    <w:rsid w:val="002443B7"/>
    <w:rsid w:val="00245CDD"/>
    <w:rsid w:val="00247E1E"/>
    <w:rsid w:val="0025034C"/>
    <w:rsid w:val="002512A4"/>
    <w:rsid w:val="00253308"/>
    <w:rsid w:val="00256422"/>
    <w:rsid w:val="002573F2"/>
    <w:rsid w:val="002605FB"/>
    <w:rsid w:val="00261581"/>
    <w:rsid w:val="00261BD6"/>
    <w:rsid w:val="00267ACB"/>
    <w:rsid w:val="0027091E"/>
    <w:rsid w:val="00273771"/>
    <w:rsid w:val="00276B76"/>
    <w:rsid w:val="00284707"/>
    <w:rsid w:val="002922A6"/>
    <w:rsid w:val="002967DC"/>
    <w:rsid w:val="00297212"/>
    <w:rsid w:val="002A68F9"/>
    <w:rsid w:val="002A7B81"/>
    <w:rsid w:val="002B0D3E"/>
    <w:rsid w:val="002B40BD"/>
    <w:rsid w:val="002B501D"/>
    <w:rsid w:val="002B7CA7"/>
    <w:rsid w:val="002C0FCA"/>
    <w:rsid w:val="002D755A"/>
    <w:rsid w:val="002D77FC"/>
    <w:rsid w:val="002E1D31"/>
    <w:rsid w:val="002E47F3"/>
    <w:rsid w:val="002E590C"/>
    <w:rsid w:val="002E5A9D"/>
    <w:rsid w:val="002E603C"/>
    <w:rsid w:val="002E63EB"/>
    <w:rsid w:val="002E7F12"/>
    <w:rsid w:val="002F266D"/>
    <w:rsid w:val="002F40E9"/>
    <w:rsid w:val="002F4E86"/>
    <w:rsid w:val="002F708B"/>
    <w:rsid w:val="003000A0"/>
    <w:rsid w:val="003012DF"/>
    <w:rsid w:val="0030406D"/>
    <w:rsid w:val="00311A5F"/>
    <w:rsid w:val="00313160"/>
    <w:rsid w:val="00313BF6"/>
    <w:rsid w:val="0031415C"/>
    <w:rsid w:val="00317394"/>
    <w:rsid w:val="00320714"/>
    <w:rsid w:val="0032166B"/>
    <w:rsid w:val="00323BD2"/>
    <w:rsid w:val="00334175"/>
    <w:rsid w:val="00334699"/>
    <w:rsid w:val="00336FA9"/>
    <w:rsid w:val="00337820"/>
    <w:rsid w:val="00341E0C"/>
    <w:rsid w:val="00342160"/>
    <w:rsid w:val="003433C1"/>
    <w:rsid w:val="00345660"/>
    <w:rsid w:val="003460BA"/>
    <w:rsid w:val="0034648A"/>
    <w:rsid w:val="00350323"/>
    <w:rsid w:val="00350CE6"/>
    <w:rsid w:val="003544E2"/>
    <w:rsid w:val="003614A3"/>
    <w:rsid w:val="00363773"/>
    <w:rsid w:val="003659CF"/>
    <w:rsid w:val="003733B0"/>
    <w:rsid w:val="003742AA"/>
    <w:rsid w:val="0037647C"/>
    <w:rsid w:val="00377ED9"/>
    <w:rsid w:val="00382E33"/>
    <w:rsid w:val="003869C8"/>
    <w:rsid w:val="003877C6"/>
    <w:rsid w:val="00390053"/>
    <w:rsid w:val="0039291A"/>
    <w:rsid w:val="00393FA9"/>
    <w:rsid w:val="00396903"/>
    <w:rsid w:val="0039745B"/>
    <w:rsid w:val="003A0CC6"/>
    <w:rsid w:val="003A352A"/>
    <w:rsid w:val="003B0AAC"/>
    <w:rsid w:val="003B4C01"/>
    <w:rsid w:val="003C09F4"/>
    <w:rsid w:val="003C21B5"/>
    <w:rsid w:val="003C34A8"/>
    <w:rsid w:val="003D06B9"/>
    <w:rsid w:val="003D340B"/>
    <w:rsid w:val="003D5964"/>
    <w:rsid w:val="003D78BD"/>
    <w:rsid w:val="003E38C9"/>
    <w:rsid w:val="003F05F5"/>
    <w:rsid w:val="003F2AC7"/>
    <w:rsid w:val="003F4DDB"/>
    <w:rsid w:val="00400051"/>
    <w:rsid w:val="0040490A"/>
    <w:rsid w:val="0041574C"/>
    <w:rsid w:val="00415B96"/>
    <w:rsid w:val="00417AC3"/>
    <w:rsid w:val="00420C82"/>
    <w:rsid w:val="00424767"/>
    <w:rsid w:val="0043265B"/>
    <w:rsid w:val="00433790"/>
    <w:rsid w:val="00433C88"/>
    <w:rsid w:val="0044362C"/>
    <w:rsid w:val="00446502"/>
    <w:rsid w:val="004476AF"/>
    <w:rsid w:val="00450F09"/>
    <w:rsid w:val="00451331"/>
    <w:rsid w:val="00457DD6"/>
    <w:rsid w:val="004626EA"/>
    <w:rsid w:val="00462864"/>
    <w:rsid w:val="00471F90"/>
    <w:rsid w:val="004744AD"/>
    <w:rsid w:val="00483CC6"/>
    <w:rsid w:val="004847A1"/>
    <w:rsid w:val="004919CF"/>
    <w:rsid w:val="00493E47"/>
    <w:rsid w:val="00493E5A"/>
    <w:rsid w:val="00495E78"/>
    <w:rsid w:val="004A13BB"/>
    <w:rsid w:val="004A457A"/>
    <w:rsid w:val="004A56C4"/>
    <w:rsid w:val="004A637A"/>
    <w:rsid w:val="004B5417"/>
    <w:rsid w:val="004B6CFB"/>
    <w:rsid w:val="004C45CC"/>
    <w:rsid w:val="004C6E12"/>
    <w:rsid w:val="004D11AF"/>
    <w:rsid w:val="004D257E"/>
    <w:rsid w:val="004D625A"/>
    <w:rsid w:val="004E2FBD"/>
    <w:rsid w:val="004E4189"/>
    <w:rsid w:val="004E515D"/>
    <w:rsid w:val="004E563B"/>
    <w:rsid w:val="004F315F"/>
    <w:rsid w:val="005015B6"/>
    <w:rsid w:val="0050321A"/>
    <w:rsid w:val="00504CF6"/>
    <w:rsid w:val="0050591A"/>
    <w:rsid w:val="00507C08"/>
    <w:rsid w:val="00512935"/>
    <w:rsid w:val="00516EC7"/>
    <w:rsid w:val="00517554"/>
    <w:rsid w:val="0052008D"/>
    <w:rsid w:val="0052143E"/>
    <w:rsid w:val="005222D9"/>
    <w:rsid w:val="00525423"/>
    <w:rsid w:val="005254FB"/>
    <w:rsid w:val="00526D31"/>
    <w:rsid w:val="00531F8E"/>
    <w:rsid w:val="00531FE2"/>
    <w:rsid w:val="00543530"/>
    <w:rsid w:val="00543D0F"/>
    <w:rsid w:val="00547740"/>
    <w:rsid w:val="00554CBF"/>
    <w:rsid w:val="005564F3"/>
    <w:rsid w:val="00557D95"/>
    <w:rsid w:val="005631B3"/>
    <w:rsid w:val="005658C4"/>
    <w:rsid w:val="00565D81"/>
    <w:rsid w:val="00570289"/>
    <w:rsid w:val="00573424"/>
    <w:rsid w:val="00575072"/>
    <w:rsid w:val="0057645C"/>
    <w:rsid w:val="005768BD"/>
    <w:rsid w:val="00580A33"/>
    <w:rsid w:val="0058107F"/>
    <w:rsid w:val="00581C93"/>
    <w:rsid w:val="00585008"/>
    <w:rsid w:val="005865CE"/>
    <w:rsid w:val="005870AA"/>
    <w:rsid w:val="00594796"/>
    <w:rsid w:val="00596FA0"/>
    <w:rsid w:val="005A02CF"/>
    <w:rsid w:val="005A6C48"/>
    <w:rsid w:val="005A78B0"/>
    <w:rsid w:val="005B1C87"/>
    <w:rsid w:val="005B1D9C"/>
    <w:rsid w:val="005C1D8C"/>
    <w:rsid w:val="005C3DDD"/>
    <w:rsid w:val="005C3EC2"/>
    <w:rsid w:val="005D4845"/>
    <w:rsid w:val="005D4B1C"/>
    <w:rsid w:val="005D5731"/>
    <w:rsid w:val="005D6BC7"/>
    <w:rsid w:val="005E049F"/>
    <w:rsid w:val="005E2916"/>
    <w:rsid w:val="005E41AD"/>
    <w:rsid w:val="005E5180"/>
    <w:rsid w:val="005F0577"/>
    <w:rsid w:val="005F2414"/>
    <w:rsid w:val="005F28CC"/>
    <w:rsid w:val="006055D7"/>
    <w:rsid w:val="00611A24"/>
    <w:rsid w:val="00613FE2"/>
    <w:rsid w:val="0061455F"/>
    <w:rsid w:val="00615265"/>
    <w:rsid w:val="00623358"/>
    <w:rsid w:val="00624126"/>
    <w:rsid w:val="006262FF"/>
    <w:rsid w:val="00630C56"/>
    <w:rsid w:val="006341ED"/>
    <w:rsid w:val="00642387"/>
    <w:rsid w:val="00651270"/>
    <w:rsid w:val="0065528D"/>
    <w:rsid w:val="006603CF"/>
    <w:rsid w:val="00662E15"/>
    <w:rsid w:val="00665C12"/>
    <w:rsid w:val="00665EDD"/>
    <w:rsid w:val="00666F24"/>
    <w:rsid w:val="00667D39"/>
    <w:rsid w:val="00670C2E"/>
    <w:rsid w:val="006710EE"/>
    <w:rsid w:val="00671B6A"/>
    <w:rsid w:val="0067475C"/>
    <w:rsid w:val="00675F9B"/>
    <w:rsid w:val="00676F45"/>
    <w:rsid w:val="0068121E"/>
    <w:rsid w:val="00681F02"/>
    <w:rsid w:val="0068276A"/>
    <w:rsid w:val="006842C0"/>
    <w:rsid w:val="00690DD3"/>
    <w:rsid w:val="006925A7"/>
    <w:rsid w:val="006949B7"/>
    <w:rsid w:val="00695A0F"/>
    <w:rsid w:val="00696C4D"/>
    <w:rsid w:val="00696C58"/>
    <w:rsid w:val="006B6CCF"/>
    <w:rsid w:val="006C3AB7"/>
    <w:rsid w:val="006C52B1"/>
    <w:rsid w:val="006D03D5"/>
    <w:rsid w:val="006D16E6"/>
    <w:rsid w:val="006D3F27"/>
    <w:rsid w:val="006E65D4"/>
    <w:rsid w:val="006F3C3A"/>
    <w:rsid w:val="006F4564"/>
    <w:rsid w:val="006F6821"/>
    <w:rsid w:val="006F7680"/>
    <w:rsid w:val="006F779F"/>
    <w:rsid w:val="00702EBC"/>
    <w:rsid w:val="00706735"/>
    <w:rsid w:val="00711597"/>
    <w:rsid w:val="00713CD5"/>
    <w:rsid w:val="007246BE"/>
    <w:rsid w:val="00727171"/>
    <w:rsid w:val="0072761E"/>
    <w:rsid w:val="007320A3"/>
    <w:rsid w:val="007336BD"/>
    <w:rsid w:val="007510CE"/>
    <w:rsid w:val="0075178B"/>
    <w:rsid w:val="00755550"/>
    <w:rsid w:val="0076193C"/>
    <w:rsid w:val="00762E11"/>
    <w:rsid w:val="00766387"/>
    <w:rsid w:val="0077147C"/>
    <w:rsid w:val="007752B0"/>
    <w:rsid w:val="007819B1"/>
    <w:rsid w:val="007842E8"/>
    <w:rsid w:val="00786A8D"/>
    <w:rsid w:val="00794952"/>
    <w:rsid w:val="00797F5E"/>
    <w:rsid w:val="007A3F40"/>
    <w:rsid w:val="007A4229"/>
    <w:rsid w:val="007A4510"/>
    <w:rsid w:val="007A50C7"/>
    <w:rsid w:val="007A6312"/>
    <w:rsid w:val="007B0A42"/>
    <w:rsid w:val="007B1E7A"/>
    <w:rsid w:val="007B2D8D"/>
    <w:rsid w:val="007B4F78"/>
    <w:rsid w:val="007C3DF6"/>
    <w:rsid w:val="007D5F97"/>
    <w:rsid w:val="007E1487"/>
    <w:rsid w:val="007E35DD"/>
    <w:rsid w:val="007F32F2"/>
    <w:rsid w:val="007F5FF0"/>
    <w:rsid w:val="00801DBA"/>
    <w:rsid w:val="00805980"/>
    <w:rsid w:val="008107F0"/>
    <w:rsid w:val="008139F0"/>
    <w:rsid w:val="00823E3E"/>
    <w:rsid w:val="0083257F"/>
    <w:rsid w:val="008347DF"/>
    <w:rsid w:val="008443F4"/>
    <w:rsid w:val="0084556F"/>
    <w:rsid w:val="0084659E"/>
    <w:rsid w:val="00850893"/>
    <w:rsid w:val="00853DFF"/>
    <w:rsid w:val="00855347"/>
    <w:rsid w:val="0085592F"/>
    <w:rsid w:val="00856AAE"/>
    <w:rsid w:val="00861754"/>
    <w:rsid w:val="00861920"/>
    <w:rsid w:val="008647F7"/>
    <w:rsid w:val="008702A2"/>
    <w:rsid w:val="008703FD"/>
    <w:rsid w:val="00880345"/>
    <w:rsid w:val="00882182"/>
    <w:rsid w:val="00883452"/>
    <w:rsid w:val="0088488F"/>
    <w:rsid w:val="00885782"/>
    <w:rsid w:val="008860D7"/>
    <w:rsid w:val="00890926"/>
    <w:rsid w:val="00897002"/>
    <w:rsid w:val="008A2207"/>
    <w:rsid w:val="008A2C47"/>
    <w:rsid w:val="008A454C"/>
    <w:rsid w:val="008A4ADD"/>
    <w:rsid w:val="008A5AC3"/>
    <w:rsid w:val="008B0579"/>
    <w:rsid w:val="008B2EBA"/>
    <w:rsid w:val="008B31C0"/>
    <w:rsid w:val="008B4F04"/>
    <w:rsid w:val="008C126E"/>
    <w:rsid w:val="008C4C03"/>
    <w:rsid w:val="008C5482"/>
    <w:rsid w:val="008C7092"/>
    <w:rsid w:val="008D5368"/>
    <w:rsid w:val="008D541B"/>
    <w:rsid w:val="008E1664"/>
    <w:rsid w:val="00901955"/>
    <w:rsid w:val="00902890"/>
    <w:rsid w:val="00904421"/>
    <w:rsid w:val="009055EA"/>
    <w:rsid w:val="0090650D"/>
    <w:rsid w:val="009075D6"/>
    <w:rsid w:val="00911420"/>
    <w:rsid w:val="009258AF"/>
    <w:rsid w:val="00927440"/>
    <w:rsid w:val="00930747"/>
    <w:rsid w:val="009311FA"/>
    <w:rsid w:val="00932543"/>
    <w:rsid w:val="009345A1"/>
    <w:rsid w:val="00934844"/>
    <w:rsid w:val="00935FAA"/>
    <w:rsid w:val="0094399D"/>
    <w:rsid w:val="00945ABB"/>
    <w:rsid w:val="00945D11"/>
    <w:rsid w:val="00947CFC"/>
    <w:rsid w:val="0095250C"/>
    <w:rsid w:val="0095728B"/>
    <w:rsid w:val="00957E1D"/>
    <w:rsid w:val="009609E2"/>
    <w:rsid w:val="009625F1"/>
    <w:rsid w:val="009723F7"/>
    <w:rsid w:val="0097412C"/>
    <w:rsid w:val="009749C7"/>
    <w:rsid w:val="00975495"/>
    <w:rsid w:val="00976029"/>
    <w:rsid w:val="0097695D"/>
    <w:rsid w:val="00977800"/>
    <w:rsid w:val="00980A3D"/>
    <w:rsid w:val="00981B0D"/>
    <w:rsid w:val="0098243C"/>
    <w:rsid w:val="0098245C"/>
    <w:rsid w:val="00985DDD"/>
    <w:rsid w:val="00986477"/>
    <w:rsid w:val="009875FA"/>
    <w:rsid w:val="009A1770"/>
    <w:rsid w:val="009A7C40"/>
    <w:rsid w:val="009B6574"/>
    <w:rsid w:val="009D24A3"/>
    <w:rsid w:val="009D24E1"/>
    <w:rsid w:val="009D3389"/>
    <w:rsid w:val="009D43DB"/>
    <w:rsid w:val="009D4856"/>
    <w:rsid w:val="009D6507"/>
    <w:rsid w:val="009D71B8"/>
    <w:rsid w:val="009E378A"/>
    <w:rsid w:val="009E6CFF"/>
    <w:rsid w:val="009F4C88"/>
    <w:rsid w:val="009F7DA9"/>
    <w:rsid w:val="00A00F64"/>
    <w:rsid w:val="00A078F4"/>
    <w:rsid w:val="00A1331D"/>
    <w:rsid w:val="00A161F3"/>
    <w:rsid w:val="00A2065E"/>
    <w:rsid w:val="00A2098C"/>
    <w:rsid w:val="00A21D5C"/>
    <w:rsid w:val="00A22BBE"/>
    <w:rsid w:val="00A26C04"/>
    <w:rsid w:val="00A31875"/>
    <w:rsid w:val="00A32120"/>
    <w:rsid w:val="00A33EB7"/>
    <w:rsid w:val="00A3652F"/>
    <w:rsid w:val="00A4176B"/>
    <w:rsid w:val="00A43652"/>
    <w:rsid w:val="00A450F7"/>
    <w:rsid w:val="00A47210"/>
    <w:rsid w:val="00A52692"/>
    <w:rsid w:val="00A54D3D"/>
    <w:rsid w:val="00A62B38"/>
    <w:rsid w:val="00A6722F"/>
    <w:rsid w:val="00A7153E"/>
    <w:rsid w:val="00A815A8"/>
    <w:rsid w:val="00A81EB6"/>
    <w:rsid w:val="00A81FFB"/>
    <w:rsid w:val="00A8429C"/>
    <w:rsid w:val="00A8447C"/>
    <w:rsid w:val="00A85F27"/>
    <w:rsid w:val="00A86982"/>
    <w:rsid w:val="00A86FC8"/>
    <w:rsid w:val="00A90173"/>
    <w:rsid w:val="00A909BD"/>
    <w:rsid w:val="00A914E0"/>
    <w:rsid w:val="00A93B1A"/>
    <w:rsid w:val="00A965D4"/>
    <w:rsid w:val="00AA2636"/>
    <w:rsid w:val="00AA7400"/>
    <w:rsid w:val="00AB16AD"/>
    <w:rsid w:val="00AC0FF3"/>
    <w:rsid w:val="00AC1163"/>
    <w:rsid w:val="00AC4D56"/>
    <w:rsid w:val="00AD0F4B"/>
    <w:rsid w:val="00AD1FF8"/>
    <w:rsid w:val="00AE1090"/>
    <w:rsid w:val="00AE3428"/>
    <w:rsid w:val="00AE492B"/>
    <w:rsid w:val="00AF385F"/>
    <w:rsid w:val="00B00B86"/>
    <w:rsid w:val="00B01732"/>
    <w:rsid w:val="00B04BE6"/>
    <w:rsid w:val="00B04CE1"/>
    <w:rsid w:val="00B13E0D"/>
    <w:rsid w:val="00B21240"/>
    <w:rsid w:val="00B22C80"/>
    <w:rsid w:val="00B3264C"/>
    <w:rsid w:val="00B32987"/>
    <w:rsid w:val="00B35084"/>
    <w:rsid w:val="00B40CB6"/>
    <w:rsid w:val="00B4310A"/>
    <w:rsid w:val="00B4327C"/>
    <w:rsid w:val="00B43931"/>
    <w:rsid w:val="00B46131"/>
    <w:rsid w:val="00B518EB"/>
    <w:rsid w:val="00B57E7C"/>
    <w:rsid w:val="00B60A11"/>
    <w:rsid w:val="00B6683D"/>
    <w:rsid w:val="00B66869"/>
    <w:rsid w:val="00B7057E"/>
    <w:rsid w:val="00B72BCE"/>
    <w:rsid w:val="00B76482"/>
    <w:rsid w:val="00B80D3E"/>
    <w:rsid w:val="00B8184F"/>
    <w:rsid w:val="00B83007"/>
    <w:rsid w:val="00B83FFD"/>
    <w:rsid w:val="00B9333F"/>
    <w:rsid w:val="00B9440D"/>
    <w:rsid w:val="00B95AD4"/>
    <w:rsid w:val="00B964C6"/>
    <w:rsid w:val="00B978A9"/>
    <w:rsid w:val="00BA0914"/>
    <w:rsid w:val="00BA1D45"/>
    <w:rsid w:val="00BB00EA"/>
    <w:rsid w:val="00BB4307"/>
    <w:rsid w:val="00BB7181"/>
    <w:rsid w:val="00BC114B"/>
    <w:rsid w:val="00BC5A7B"/>
    <w:rsid w:val="00BC5F53"/>
    <w:rsid w:val="00BD195B"/>
    <w:rsid w:val="00BE26F5"/>
    <w:rsid w:val="00BE33D8"/>
    <w:rsid w:val="00BE4265"/>
    <w:rsid w:val="00BF1B7A"/>
    <w:rsid w:val="00BF5C34"/>
    <w:rsid w:val="00C03E64"/>
    <w:rsid w:val="00C11917"/>
    <w:rsid w:val="00C12B53"/>
    <w:rsid w:val="00C132AA"/>
    <w:rsid w:val="00C210EA"/>
    <w:rsid w:val="00C2512E"/>
    <w:rsid w:val="00C26330"/>
    <w:rsid w:val="00C26FD8"/>
    <w:rsid w:val="00C27881"/>
    <w:rsid w:val="00C35221"/>
    <w:rsid w:val="00C4731D"/>
    <w:rsid w:val="00C50157"/>
    <w:rsid w:val="00C54FEC"/>
    <w:rsid w:val="00C55006"/>
    <w:rsid w:val="00C568DC"/>
    <w:rsid w:val="00C62A89"/>
    <w:rsid w:val="00C62C1A"/>
    <w:rsid w:val="00C67DCC"/>
    <w:rsid w:val="00C71238"/>
    <w:rsid w:val="00C722F6"/>
    <w:rsid w:val="00C734C9"/>
    <w:rsid w:val="00C74625"/>
    <w:rsid w:val="00C74C2F"/>
    <w:rsid w:val="00C81866"/>
    <w:rsid w:val="00C84342"/>
    <w:rsid w:val="00C8566C"/>
    <w:rsid w:val="00C87FC8"/>
    <w:rsid w:val="00C907BC"/>
    <w:rsid w:val="00C90BF8"/>
    <w:rsid w:val="00C90C7D"/>
    <w:rsid w:val="00C9138F"/>
    <w:rsid w:val="00C92F6B"/>
    <w:rsid w:val="00C978AE"/>
    <w:rsid w:val="00CA1774"/>
    <w:rsid w:val="00CA3881"/>
    <w:rsid w:val="00CA6B0A"/>
    <w:rsid w:val="00CB26BB"/>
    <w:rsid w:val="00CB2C5A"/>
    <w:rsid w:val="00CB5697"/>
    <w:rsid w:val="00CB6F4F"/>
    <w:rsid w:val="00CC0714"/>
    <w:rsid w:val="00CC7CD9"/>
    <w:rsid w:val="00CD25E4"/>
    <w:rsid w:val="00CD5BD3"/>
    <w:rsid w:val="00CD7EBF"/>
    <w:rsid w:val="00CE25D2"/>
    <w:rsid w:val="00CE306D"/>
    <w:rsid w:val="00CE5C72"/>
    <w:rsid w:val="00CF79E5"/>
    <w:rsid w:val="00D0059A"/>
    <w:rsid w:val="00D00870"/>
    <w:rsid w:val="00D00D8C"/>
    <w:rsid w:val="00D0682E"/>
    <w:rsid w:val="00D07073"/>
    <w:rsid w:val="00D11709"/>
    <w:rsid w:val="00D11E81"/>
    <w:rsid w:val="00D12123"/>
    <w:rsid w:val="00D17FC1"/>
    <w:rsid w:val="00D34283"/>
    <w:rsid w:val="00D34700"/>
    <w:rsid w:val="00D37D8A"/>
    <w:rsid w:val="00D412F7"/>
    <w:rsid w:val="00D42869"/>
    <w:rsid w:val="00D433E7"/>
    <w:rsid w:val="00D4625A"/>
    <w:rsid w:val="00D51E14"/>
    <w:rsid w:val="00D5613B"/>
    <w:rsid w:val="00D565EC"/>
    <w:rsid w:val="00D56BA0"/>
    <w:rsid w:val="00D641B1"/>
    <w:rsid w:val="00D6598D"/>
    <w:rsid w:val="00D6683C"/>
    <w:rsid w:val="00D703C4"/>
    <w:rsid w:val="00D7070D"/>
    <w:rsid w:val="00D741C5"/>
    <w:rsid w:val="00D8466B"/>
    <w:rsid w:val="00D85E88"/>
    <w:rsid w:val="00D87F86"/>
    <w:rsid w:val="00D907C1"/>
    <w:rsid w:val="00D92867"/>
    <w:rsid w:val="00D93673"/>
    <w:rsid w:val="00D94244"/>
    <w:rsid w:val="00D947F8"/>
    <w:rsid w:val="00D94D6F"/>
    <w:rsid w:val="00D95E89"/>
    <w:rsid w:val="00DA2E35"/>
    <w:rsid w:val="00DA3DB9"/>
    <w:rsid w:val="00DA48AC"/>
    <w:rsid w:val="00DB0F45"/>
    <w:rsid w:val="00DB771D"/>
    <w:rsid w:val="00DC1E5C"/>
    <w:rsid w:val="00DC23F6"/>
    <w:rsid w:val="00DD0475"/>
    <w:rsid w:val="00DD45D5"/>
    <w:rsid w:val="00DD4A8C"/>
    <w:rsid w:val="00DE58B7"/>
    <w:rsid w:val="00DE692B"/>
    <w:rsid w:val="00DE6D37"/>
    <w:rsid w:val="00DF4291"/>
    <w:rsid w:val="00DF6E2A"/>
    <w:rsid w:val="00DF6E4D"/>
    <w:rsid w:val="00E023B1"/>
    <w:rsid w:val="00E0244E"/>
    <w:rsid w:val="00E037F1"/>
    <w:rsid w:val="00E07E2D"/>
    <w:rsid w:val="00E112A0"/>
    <w:rsid w:val="00E12A32"/>
    <w:rsid w:val="00E13665"/>
    <w:rsid w:val="00E15510"/>
    <w:rsid w:val="00E23700"/>
    <w:rsid w:val="00E30AFA"/>
    <w:rsid w:val="00E31C19"/>
    <w:rsid w:val="00E33924"/>
    <w:rsid w:val="00E40C25"/>
    <w:rsid w:val="00E505A9"/>
    <w:rsid w:val="00E53F43"/>
    <w:rsid w:val="00E5428D"/>
    <w:rsid w:val="00E57CC0"/>
    <w:rsid w:val="00E62519"/>
    <w:rsid w:val="00E649AF"/>
    <w:rsid w:val="00E842C2"/>
    <w:rsid w:val="00E8582E"/>
    <w:rsid w:val="00E859DA"/>
    <w:rsid w:val="00E87AEA"/>
    <w:rsid w:val="00E90248"/>
    <w:rsid w:val="00E925A4"/>
    <w:rsid w:val="00EA5288"/>
    <w:rsid w:val="00EA75E2"/>
    <w:rsid w:val="00EA77A9"/>
    <w:rsid w:val="00EB19FC"/>
    <w:rsid w:val="00EB4CA5"/>
    <w:rsid w:val="00EC11B1"/>
    <w:rsid w:val="00EC3D1F"/>
    <w:rsid w:val="00EC43A5"/>
    <w:rsid w:val="00EC54C6"/>
    <w:rsid w:val="00EC5FFF"/>
    <w:rsid w:val="00EC6DFA"/>
    <w:rsid w:val="00ED288B"/>
    <w:rsid w:val="00ED3A51"/>
    <w:rsid w:val="00ED46C9"/>
    <w:rsid w:val="00ED5219"/>
    <w:rsid w:val="00ED5BFB"/>
    <w:rsid w:val="00EE1683"/>
    <w:rsid w:val="00EE1EC8"/>
    <w:rsid w:val="00EF05F9"/>
    <w:rsid w:val="00EF461F"/>
    <w:rsid w:val="00EF4C6D"/>
    <w:rsid w:val="00F007F8"/>
    <w:rsid w:val="00F02B30"/>
    <w:rsid w:val="00F02C66"/>
    <w:rsid w:val="00F02DC5"/>
    <w:rsid w:val="00F03197"/>
    <w:rsid w:val="00F05CCE"/>
    <w:rsid w:val="00F07C7B"/>
    <w:rsid w:val="00F20868"/>
    <w:rsid w:val="00F21428"/>
    <w:rsid w:val="00F2371B"/>
    <w:rsid w:val="00F3012D"/>
    <w:rsid w:val="00F326D1"/>
    <w:rsid w:val="00F35E7C"/>
    <w:rsid w:val="00F36A00"/>
    <w:rsid w:val="00F41CD1"/>
    <w:rsid w:val="00F4453B"/>
    <w:rsid w:val="00F50F2E"/>
    <w:rsid w:val="00F51043"/>
    <w:rsid w:val="00F51DD1"/>
    <w:rsid w:val="00F5350C"/>
    <w:rsid w:val="00F54F65"/>
    <w:rsid w:val="00F573EA"/>
    <w:rsid w:val="00F60652"/>
    <w:rsid w:val="00F642FB"/>
    <w:rsid w:val="00F71E9E"/>
    <w:rsid w:val="00F73154"/>
    <w:rsid w:val="00F75D29"/>
    <w:rsid w:val="00F8391F"/>
    <w:rsid w:val="00F8519B"/>
    <w:rsid w:val="00FA496F"/>
    <w:rsid w:val="00FA7435"/>
    <w:rsid w:val="00FB08A7"/>
    <w:rsid w:val="00FB3BBB"/>
    <w:rsid w:val="00FB48BE"/>
    <w:rsid w:val="00FC3599"/>
    <w:rsid w:val="00FC36A2"/>
    <w:rsid w:val="00FC48A1"/>
    <w:rsid w:val="00FC4E61"/>
    <w:rsid w:val="00FC501E"/>
    <w:rsid w:val="00FC702A"/>
    <w:rsid w:val="00FD4493"/>
    <w:rsid w:val="00FD461E"/>
    <w:rsid w:val="00FD4E01"/>
    <w:rsid w:val="00FE04F2"/>
    <w:rsid w:val="00FE1761"/>
    <w:rsid w:val="00FE792E"/>
    <w:rsid w:val="00FF3706"/>
    <w:rsid w:val="00FF3D8B"/>
    <w:rsid w:val="00FF41CD"/>
    <w:rsid w:val="00FF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1070"/>
  <w15:chartTrackingRefBased/>
  <w15:docId w15:val="{C57F56A7-BFB0-4910-A686-423EF441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625"/>
    <w:rPr>
      <w:rFonts w:eastAsiaTheme="majorEastAsia" w:cstheme="majorBidi"/>
      <w:color w:val="272727" w:themeColor="text1" w:themeTint="D8"/>
    </w:rPr>
  </w:style>
  <w:style w:type="paragraph" w:styleId="Title">
    <w:name w:val="Title"/>
    <w:basedOn w:val="Normal"/>
    <w:next w:val="Normal"/>
    <w:link w:val="TitleChar"/>
    <w:uiPriority w:val="10"/>
    <w:qFormat/>
    <w:rsid w:val="00C74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625"/>
    <w:pPr>
      <w:spacing w:before="160"/>
      <w:jc w:val="center"/>
    </w:pPr>
    <w:rPr>
      <w:i/>
      <w:iCs/>
      <w:color w:val="404040" w:themeColor="text1" w:themeTint="BF"/>
    </w:rPr>
  </w:style>
  <w:style w:type="character" w:customStyle="1" w:styleId="QuoteChar">
    <w:name w:val="Quote Char"/>
    <w:basedOn w:val="DefaultParagraphFont"/>
    <w:link w:val="Quote"/>
    <w:uiPriority w:val="29"/>
    <w:rsid w:val="00C74625"/>
    <w:rPr>
      <w:i/>
      <w:iCs/>
      <w:color w:val="404040" w:themeColor="text1" w:themeTint="BF"/>
    </w:rPr>
  </w:style>
  <w:style w:type="paragraph" w:styleId="ListParagraph">
    <w:name w:val="List Paragraph"/>
    <w:basedOn w:val="Normal"/>
    <w:uiPriority w:val="34"/>
    <w:qFormat/>
    <w:rsid w:val="00C74625"/>
    <w:pPr>
      <w:ind w:left="720"/>
      <w:contextualSpacing/>
    </w:pPr>
  </w:style>
  <w:style w:type="character" w:styleId="IntenseEmphasis">
    <w:name w:val="Intense Emphasis"/>
    <w:basedOn w:val="DefaultParagraphFont"/>
    <w:uiPriority w:val="21"/>
    <w:qFormat/>
    <w:rsid w:val="00C74625"/>
    <w:rPr>
      <w:i/>
      <w:iCs/>
      <w:color w:val="0F4761" w:themeColor="accent1" w:themeShade="BF"/>
    </w:rPr>
  </w:style>
  <w:style w:type="paragraph" w:styleId="IntenseQuote">
    <w:name w:val="Intense Quote"/>
    <w:basedOn w:val="Normal"/>
    <w:next w:val="Normal"/>
    <w:link w:val="IntenseQuoteChar"/>
    <w:uiPriority w:val="30"/>
    <w:qFormat/>
    <w:rsid w:val="00C74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625"/>
    <w:rPr>
      <w:i/>
      <w:iCs/>
      <w:color w:val="0F4761" w:themeColor="accent1" w:themeShade="BF"/>
    </w:rPr>
  </w:style>
  <w:style w:type="character" w:styleId="IntenseReference">
    <w:name w:val="Intense Reference"/>
    <w:basedOn w:val="DefaultParagraphFont"/>
    <w:uiPriority w:val="32"/>
    <w:qFormat/>
    <w:rsid w:val="00C74625"/>
    <w:rPr>
      <w:b/>
      <w:bCs/>
      <w:smallCaps/>
      <w:color w:val="0F4761" w:themeColor="accent1" w:themeShade="BF"/>
      <w:spacing w:val="5"/>
    </w:rPr>
  </w:style>
  <w:style w:type="character" w:styleId="Hyperlink">
    <w:name w:val="Hyperlink"/>
    <w:basedOn w:val="DefaultParagraphFont"/>
    <w:uiPriority w:val="99"/>
    <w:unhideWhenUsed/>
    <w:rsid w:val="003A0CC6"/>
    <w:rPr>
      <w:color w:val="467886" w:themeColor="hyperlink"/>
      <w:u w:val="single"/>
    </w:rPr>
  </w:style>
  <w:style w:type="character" w:styleId="UnresolvedMention">
    <w:name w:val="Unresolved Mention"/>
    <w:basedOn w:val="DefaultParagraphFont"/>
    <w:uiPriority w:val="99"/>
    <w:semiHidden/>
    <w:unhideWhenUsed/>
    <w:rsid w:val="003A0CC6"/>
    <w:rPr>
      <w:color w:val="605E5C"/>
      <w:shd w:val="clear" w:color="auto" w:fill="E1DFDD"/>
    </w:rPr>
  </w:style>
  <w:style w:type="character" w:styleId="CommentReference">
    <w:name w:val="annotation reference"/>
    <w:basedOn w:val="DefaultParagraphFont"/>
    <w:uiPriority w:val="99"/>
    <w:semiHidden/>
    <w:unhideWhenUsed/>
    <w:rsid w:val="00885782"/>
    <w:rPr>
      <w:sz w:val="16"/>
      <w:szCs w:val="16"/>
    </w:rPr>
  </w:style>
  <w:style w:type="paragraph" w:styleId="CommentText">
    <w:name w:val="annotation text"/>
    <w:basedOn w:val="Normal"/>
    <w:link w:val="CommentTextChar"/>
    <w:uiPriority w:val="99"/>
    <w:unhideWhenUsed/>
    <w:rsid w:val="00885782"/>
    <w:pPr>
      <w:spacing w:line="240" w:lineRule="auto"/>
    </w:pPr>
    <w:rPr>
      <w:sz w:val="20"/>
      <w:szCs w:val="20"/>
    </w:rPr>
  </w:style>
  <w:style w:type="character" w:customStyle="1" w:styleId="CommentTextChar">
    <w:name w:val="Comment Text Char"/>
    <w:basedOn w:val="DefaultParagraphFont"/>
    <w:link w:val="CommentText"/>
    <w:uiPriority w:val="99"/>
    <w:rsid w:val="00885782"/>
    <w:rPr>
      <w:sz w:val="20"/>
      <w:szCs w:val="20"/>
    </w:rPr>
  </w:style>
  <w:style w:type="paragraph" w:styleId="CommentSubject">
    <w:name w:val="annotation subject"/>
    <w:basedOn w:val="CommentText"/>
    <w:next w:val="CommentText"/>
    <w:link w:val="CommentSubjectChar"/>
    <w:uiPriority w:val="99"/>
    <w:semiHidden/>
    <w:unhideWhenUsed/>
    <w:rsid w:val="00885782"/>
    <w:rPr>
      <w:b/>
      <w:bCs/>
    </w:rPr>
  </w:style>
  <w:style w:type="character" w:customStyle="1" w:styleId="CommentSubjectChar">
    <w:name w:val="Comment Subject Char"/>
    <w:basedOn w:val="CommentTextChar"/>
    <w:link w:val="CommentSubject"/>
    <w:uiPriority w:val="99"/>
    <w:semiHidden/>
    <w:rsid w:val="00885782"/>
    <w:rPr>
      <w:b/>
      <w:bCs/>
      <w:sz w:val="20"/>
      <w:szCs w:val="20"/>
    </w:rPr>
  </w:style>
  <w:style w:type="paragraph" w:styleId="Header">
    <w:name w:val="header"/>
    <w:basedOn w:val="Normal"/>
    <w:link w:val="HeaderChar"/>
    <w:uiPriority w:val="99"/>
    <w:unhideWhenUsed/>
    <w:rsid w:val="00EF4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C6D"/>
  </w:style>
  <w:style w:type="paragraph" w:styleId="Footer">
    <w:name w:val="footer"/>
    <w:basedOn w:val="Normal"/>
    <w:link w:val="FooterChar"/>
    <w:uiPriority w:val="99"/>
    <w:unhideWhenUsed/>
    <w:rsid w:val="00EF4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C6D"/>
  </w:style>
  <w:style w:type="character" w:customStyle="1" w:styleId="cf01">
    <w:name w:val="cf01"/>
    <w:basedOn w:val="DefaultParagraphFont"/>
    <w:rsid w:val="00F02C66"/>
    <w:rPr>
      <w:rFonts w:ascii="Segoe UI" w:hAnsi="Segoe UI" w:cs="Segoe UI" w:hint="default"/>
      <w:sz w:val="18"/>
      <w:szCs w:val="18"/>
    </w:rPr>
  </w:style>
  <w:style w:type="paragraph" w:styleId="Revision">
    <w:name w:val="Revision"/>
    <w:hidden/>
    <w:uiPriority w:val="99"/>
    <w:semiHidden/>
    <w:rsid w:val="003433C1"/>
    <w:pPr>
      <w:spacing w:after="0" w:line="240" w:lineRule="auto"/>
    </w:pPr>
  </w:style>
  <w:style w:type="paragraph" w:customStyle="1" w:styleId="pf0">
    <w:name w:val="pf0"/>
    <w:basedOn w:val="Normal"/>
    <w:rsid w:val="00B13E0D"/>
    <w:pPr>
      <w:spacing w:before="100" w:beforeAutospacing="1" w:after="100" w:afterAutospacing="1" w:line="240" w:lineRule="auto"/>
      <w:ind w:left="720"/>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2322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06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64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5901">
      <w:bodyDiv w:val="1"/>
      <w:marLeft w:val="0"/>
      <w:marRight w:val="0"/>
      <w:marTop w:val="0"/>
      <w:marBottom w:val="0"/>
      <w:divBdr>
        <w:top w:val="none" w:sz="0" w:space="0" w:color="auto"/>
        <w:left w:val="none" w:sz="0" w:space="0" w:color="auto"/>
        <w:bottom w:val="none" w:sz="0" w:space="0" w:color="auto"/>
        <w:right w:val="none" w:sz="0" w:space="0" w:color="auto"/>
      </w:divBdr>
    </w:div>
    <w:div w:id="144780778">
      <w:bodyDiv w:val="1"/>
      <w:marLeft w:val="0"/>
      <w:marRight w:val="0"/>
      <w:marTop w:val="0"/>
      <w:marBottom w:val="0"/>
      <w:divBdr>
        <w:top w:val="none" w:sz="0" w:space="0" w:color="auto"/>
        <w:left w:val="none" w:sz="0" w:space="0" w:color="auto"/>
        <w:bottom w:val="none" w:sz="0" w:space="0" w:color="auto"/>
        <w:right w:val="none" w:sz="0" w:space="0" w:color="auto"/>
      </w:divBdr>
    </w:div>
    <w:div w:id="198661584">
      <w:bodyDiv w:val="1"/>
      <w:marLeft w:val="0"/>
      <w:marRight w:val="0"/>
      <w:marTop w:val="0"/>
      <w:marBottom w:val="0"/>
      <w:divBdr>
        <w:top w:val="none" w:sz="0" w:space="0" w:color="auto"/>
        <w:left w:val="none" w:sz="0" w:space="0" w:color="auto"/>
        <w:bottom w:val="none" w:sz="0" w:space="0" w:color="auto"/>
        <w:right w:val="none" w:sz="0" w:space="0" w:color="auto"/>
      </w:divBdr>
    </w:div>
    <w:div w:id="234901249">
      <w:bodyDiv w:val="1"/>
      <w:marLeft w:val="0"/>
      <w:marRight w:val="0"/>
      <w:marTop w:val="0"/>
      <w:marBottom w:val="0"/>
      <w:divBdr>
        <w:top w:val="none" w:sz="0" w:space="0" w:color="auto"/>
        <w:left w:val="none" w:sz="0" w:space="0" w:color="auto"/>
        <w:bottom w:val="none" w:sz="0" w:space="0" w:color="auto"/>
        <w:right w:val="none" w:sz="0" w:space="0" w:color="auto"/>
      </w:divBdr>
    </w:div>
    <w:div w:id="247272123">
      <w:bodyDiv w:val="1"/>
      <w:marLeft w:val="0"/>
      <w:marRight w:val="0"/>
      <w:marTop w:val="0"/>
      <w:marBottom w:val="0"/>
      <w:divBdr>
        <w:top w:val="none" w:sz="0" w:space="0" w:color="auto"/>
        <w:left w:val="none" w:sz="0" w:space="0" w:color="auto"/>
        <w:bottom w:val="none" w:sz="0" w:space="0" w:color="auto"/>
        <w:right w:val="none" w:sz="0" w:space="0" w:color="auto"/>
      </w:divBdr>
    </w:div>
    <w:div w:id="481970000">
      <w:bodyDiv w:val="1"/>
      <w:marLeft w:val="0"/>
      <w:marRight w:val="0"/>
      <w:marTop w:val="0"/>
      <w:marBottom w:val="0"/>
      <w:divBdr>
        <w:top w:val="none" w:sz="0" w:space="0" w:color="auto"/>
        <w:left w:val="none" w:sz="0" w:space="0" w:color="auto"/>
        <w:bottom w:val="none" w:sz="0" w:space="0" w:color="auto"/>
        <w:right w:val="none" w:sz="0" w:space="0" w:color="auto"/>
      </w:divBdr>
    </w:div>
    <w:div w:id="535196934">
      <w:bodyDiv w:val="1"/>
      <w:marLeft w:val="0"/>
      <w:marRight w:val="0"/>
      <w:marTop w:val="0"/>
      <w:marBottom w:val="0"/>
      <w:divBdr>
        <w:top w:val="none" w:sz="0" w:space="0" w:color="auto"/>
        <w:left w:val="none" w:sz="0" w:space="0" w:color="auto"/>
        <w:bottom w:val="none" w:sz="0" w:space="0" w:color="auto"/>
        <w:right w:val="none" w:sz="0" w:space="0" w:color="auto"/>
      </w:divBdr>
    </w:div>
    <w:div w:id="714743590">
      <w:bodyDiv w:val="1"/>
      <w:marLeft w:val="0"/>
      <w:marRight w:val="0"/>
      <w:marTop w:val="0"/>
      <w:marBottom w:val="0"/>
      <w:divBdr>
        <w:top w:val="none" w:sz="0" w:space="0" w:color="auto"/>
        <w:left w:val="none" w:sz="0" w:space="0" w:color="auto"/>
        <w:bottom w:val="none" w:sz="0" w:space="0" w:color="auto"/>
        <w:right w:val="none" w:sz="0" w:space="0" w:color="auto"/>
      </w:divBdr>
      <w:divsChild>
        <w:div w:id="1596288089">
          <w:marLeft w:val="0"/>
          <w:marRight w:val="0"/>
          <w:marTop w:val="0"/>
          <w:marBottom w:val="0"/>
          <w:divBdr>
            <w:top w:val="none" w:sz="0" w:space="0" w:color="auto"/>
            <w:left w:val="none" w:sz="0" w:space="0" w:color="auto"/>
            <w:bottom w:val="none" w:sz="0" w:space="0" w:color="auto"/>
            <w:right w:val="none" w:sz="0" w:space="0" w:color="auto"/>
          </w:divBdr>
        </w:div>
      </w:divsChild>
    </w:div>
    <w:div w:id="744109604">
      <w:bodyDiv w:val="1"/>
      <w:marLeft w:val="0"/>
      <w:marRight w:val="0"/>
      <w:marTop w:val="0"/>
      <w:marBottom w:val="0"/>
      <w:divBdr>
        <w:top w:val="none" w:sz="0" w:space="0" w:color="auto"/>
        <w:left w:val="none" w:sz="0" w:space="0" w:color="auto"/>
        <w:bottom w:val="none" w:sz="0" w:space="0" w:color="auto"/>
        <w:right w:val="none" w:sz="0" w:space="0" w:color="auto"/>
      </w:divBdr>
    </w:div>
    <w:div w:id="946429438">
      <w:bodyDiv w:val="1"/>
      <w:marLeft w:val="0"/>
      <w:marRight w:val="0"/>
      <w:marTop w:val="0"/>
      <w:marBottom w:val="0"/>
      <w:divBdr>
        <w:top w:val="none" w:sz="0" w:space="0" w:color="auto"/>
        <w:left w:val="none" w:sz="0" w:space="0" w:color="auto"/>
        <w:bottom w:val="none" w:sz="0" w:space="0" w:color="auto"/>
        <w:right w:val="none" w:sz="0" w:space="0" w:color="auto"/>
      </w:divBdr>
    </w:div>
    <w:div w:id="1045443098">
      <w:bodyDiv w:val="1"/>
      <w:marLeft w:val="0"/>
      <w:marRight w:val="0"/>
      <w:marTop w:val="0"/>
      <w:marBottom w:val="0"/>
      <w:divBdr>
        <w:top w:val="none" w:sz="0" w:space="0" w:color="auto"/>
        <w:left w:val="none" w:sz="0" w:space="0" w:color="auto"/>
        <w:bottom w:val="none" w:sz="0" w:space="0" w:color="auto"/>
        <w:right w:val="none" w:sz="0" w:space="0" w:color="auto"/>
      </w:divBdr>
    </w:div>
    <w:div w:id="1227373673">
      <w:bodyDiv w:val="1"/>
      <w:marLeft w:val="0"/>
      <w:marRight w:val="0"/>
      <w:marTop w:val="0"/>
      <w:marBottom w:val="0"/>
      <w:divBdr>
        <w:top w:val="none" w:sz="0" w:space="0" w:color="auto"/>
        <w:left w:val="none" w:sz="0" w:space="0" w:color="auto"/>
        <w:bottom w:val="none" w:sz="0" w:space="0" w:color="auto"/>
        <w:right w:val="none" w:sz="0" w:space="0" w:color="auto"/>
      </w:divBdr>
    </w:div>
    <w:div w:id="1267613089">
      <w:bodyDiv w:val="1"/>
      <w:marLeft w:val="0"/>
      <w:marRight w:val="0"/>
      <w:marTop w:val="0"/>
      <w:marBottom w:val="0"/>
      <w:divBdr>
        <w:top w:val="none" w:sz="0" w:space="0" w:color="auto"/>
        <w:left w:val="none" w:sz="0" w:space="0" w:color="auto"/>
        <w:bottom w:val="none" w:sz="0" w:space="0" w:color="auto"/>
        <w:right w:val="none" w:sz="0" w:space="0" w:color="auto"/>
      </w:divBdr>
    </w:div>
    <w:div w:id="1279528422">
      <w:bodyDiv w:val="1"/>
      <w:marLeft w:val="0"/>
      <w:marRight w:val="0"/>
      <w:marTop w:val="0"/>
      <w:marBottom w:val="0"/>
      <w:divBdr>
        <w:top w:val="none" w:sz="0" w:space="0" w:color="auto"/>
        <w:left w:val="none" w:sz="0" w:space="0" w:color="auto"/>
        <w:bottom w:val="none" w:sz="0" w:space="0" w:color="auto"/>
        <w:right w:val="none" w:sz="0" w:space="0" w:color="auto"/>
      </w:divBdr>
    </w:div>
    <w:div w:id="1320160963">
      <w:bodyDiv w:val="1"/>
      <w:marLeft w:val="0"/>
      <w:marRight w:val="0"/>
      <w:marTop w:val="0"/>
      <w:marBottom w:val="0"/>
      <w:divBdr>
        <w:top w:val="none" w:sz="0" w:space="0" w:color="auto"/>
        <w:left w:val="none" w:sz="0" w:space="0" w:color="auto"/>
        <w:bottom w:val="none" w:sz="0" w:space="0" w:color="auto"/>
        <w:right w:val="none" w:sz="0" w:space="0" w:color="auto"/>
      </w:divBdr>
    </w:div>
    <w:div w:id="1323922401">
      <w:bodyDiv w:val="1"/>
      <w:marLeft w:val="0"/>
      <w:marRight w:val="0"/>
      <w:marTop w:val="0"/>
      <w:marBottom w:val="0"/>
      <w:divBdr>
        <w:top w:val="none" w:sz="0" w:space="0" w:color="auto"/>
        <w:left w:val="none" w:sz="0" w:space="0" w:color="auto"/>
        <w:bottom w:val="none" w:sz="0" w:space="0" w:color="auto"/>
        <w:right w:val="none" w:sz="0" w:space="0" w:color="auto"/>
      </w:divBdr>
    </w:div>
    <w:div w:id="1389262429">
      <w:bodyDiv w:val="1"/>
      <w:marLeft w:val="0"/>
      <w:marRight w:val="0"/>
      <w:marTop w:val="0"/>
      <w:marBottom w:val="0"/>
      <w:divBdr>
        <w:top w:val="none" w:sz="0" w:space="0" w:color="auto"/>
        <w:left w:val="none" w:sz="0" w:space="0" w:color="auto"/>
        <w:bottom w:val="none" w:sz="0" w:space="0" w:color="auto"/>
        <w:right w:val="none" w:sz="0" w:space="0" w:color="auto"/>
      </w:divBdr>
    </w:div>
    <w:div w:id="1457523140">
      <w:bodyDiv w:val="1"/>
      <w:marLeft w:val="0"/>
      <w:marRight w:val="0"/>
      <w:marTop w:val="0"/>
      <w:marBottom w:val="0"/>
      <w:divBdr>
        <w:top w:val="none" w:sz="0" w:space="0" w:color="auto"/>
        <w:left w:val="none" w:sz="0" w:space="0" w:color="auto"/>
        <w:bottom w:val="none" w:sz="0" w:space="0" w:color="auto"/>
        <w:right w:val="none" w:sz="0" w:space="0" w:color="auto"/>
      </w:divBdr>
      <w:divsChild>
        <w:div w:id="1028602548">
          <w:blockQuote w:val="1"/>
          <w:marLeft w:val="0"/>
          <w:marRight w:val="0"/>
          <w:marTop w:val="0"/>
          <w:marBottom w:val="384"/>
          <w:divBdr>
            <w:top w:val="single" w:sz="2" w:space="0" w:color="8E8EA0"/>
            <w:left w:val="single" w:sz="12" w:space="0" w:color="8E8EA0"/>
            <w:bottom w:val="single" w:sz="2" w:space="0" w:color="8E8EA0"/>
            <w:right w:val="single" w:sz="2" w:space="0" w:color="8E8EA0"/>
          </w:divBdr>
        </w:div>
        <w:div w:id="831675786">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 w:id="438376637">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 w:id="251134954">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 w:id="1059595732">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sChild>
    </w:div>
    <w:div w:id="1654790631">
      <w:bodyDiv w:val="1"/>
      <w:marLeft w:val="0"/>
      <w:marRight w:val="0"/>
      <w:marTop w:val="0"/>
      <w:marBottom w:val="0"/>
      <w:divBdr>
        <w:top w:val="none" w:sz="0" w:space="0" w:color="auto"/>
        <w:left w:val="none" w:sz="0" w:space="0" w:color="auto"/>
        <w:bottom w:val="none" w:sz="0" w:space="0" w:color="auto"/>
        <w:right w:val="none" w:sz="0" w:space="0" w:color="auto"/>
      </w:divBdr>
    </w:div>
    <w:div w:id="1939869406">
      <w:bodyDiv w:val="1"/>
      <w:marLeft w:val="0"/>
      <w:marRight w:val="0"/>
      <w:marTop w:val="0"/>
      <w:marBottom w:val="0"/>
      <w:divBdr>
        <w:top w:val="none" w:sz="0" w:space="0" w:color="auto"/>
        <w:left w:val="none" w:sz="0" w:space="0" w:color="auto"/>
        <w:bottom w:val="none" w:sz="0" w:space="0" w:color="auto"/>
        <w:right w:val="none" w:sz="0" w:space="0" w:color="auto"/>
      </w:divBdr>
    </w:div>
    <w:div w:id="1968924558">
      <w:bodyDiv w:val="1"/>
      <w:marLeft w:val="0"/>
      <w:marRight w:val="0"/>
      <w:marTop w:val="0"/>
      <w:marBottom w:val="0"/>
      <w:divBdr>
        <w:top w:val="none" w:sz="0" w:space="0" w:color="auto"/>
        <w:left w:val="none" w:sz="0" w:space="0" w:color="auto"/>
        <w:bottom w:val="none" w:sz="0" w:space="0" w:color="auto"/>
        <w:right w:val="none" w:sz="0" w:space="0" w:color="auto"/>
      </w:divBdr>
    </w:div>
    <w:div w:id="2004432373">
      <w:bodyDiv w:val="1"/>
      <w:marLeft w:val="0"/>
      <w:marRight w:val="0"/>
      <w:marTop w:val="0"/>
      <w:marBottom w:val="0"/>
      <w:divBdr>
        <w:top w:val="none" w:sz="0" w:space="0" w:color="auto"/>
        <w:left w:val="none" w:sz="0" w:space="0" w:color="auto"/>
        <w:bottom w:val="none" w:sz="0" w:space="0" w:color="auto"/>
        <w:right w:val="none" w:sz="0" w:space="0" w:color="auto"/>
      </w:divBdr>
    </w:div>
    <w:div w:id="2014137230">
      <w:bodyDiv w:val="1"/>
      <w:marLeft w:val="0"/>
      <w:marRight w:val="0"/>
      <w:marTop w:val="0"/>
      <w:marBottom w:val="0"/>
      <w:divBdr>
        <w:top w:val="none" w:sz="0" w:space="0" w:color="auto"/>
        <w:left w:val="none" w:sz="0" w:space="0" w:color="auto"/>
        <w:bottom w:val="none" w:sz="0" w:space="0" w:color="auto"/>
        <w:right w:val="none" w:sz="0" w:space="0" w:color="auto"/>
      </w:divBdr>
    </w:div>
    <w:div w:id="2048289718">
      <w:bodyDiv w:val="1"/>
      <w:marLeft w:val="0"/>
      <w:marRight w:val="0"/>
      <w:marTop w:val="0"/>
      <w:marBottom w:val="0"/>
      <w:divBdr>
        <w:top w:val="none" w:sz="0" w:space="0" w:color="auto"/>
        <w:left w:val="none" w:sz="0" w:space="0" w:color="auto"/>
        <w:bottom w:val="none" w:sz="0" w:space="0" w:color="auto"/>
        <w:right w:val="none" w:sz="0" w:space="0" w:color="auto"/>
      </w:divBdr>
    </w:div>
    <w:div w:id="2073772742">
      <w:bodyDiv w:val="1"/>
      <w:marLeft w:val="0"/>
      <w:marRight w:val="0"/>
      <w:marTop w:val="0"/>
      <w:marBottom w:val="0"/>
      <w:divBdr>
        <w:top w:val="none" w:sz="0" w:space="0" w:color="auto"/>
        <w:left w:val="none" w:sz="0" w:space="0" w:color="auto"/>
        <w:bottom w:val="none" w:sz="0" w:space="0" w:color="auto"/>
        <w:right w:val="none" w:sz="0" w:space="0" w:color="auto"/>
      </w:divBdr>
    </w:div>
    <w:div w:id="2088644248">
      <w:bodyDiv w:val="1"/>
      <w:marLeft w:val="0"/>
      <w:marRight w:val="0"/>
      <w:marTop w:val="0"/>
      <w:marBottom w:val="0"/>
      <w:divBdr>
        <w:top w:val="none" w:sz="0" w:space="0" w:color="auto"/>
        <w:left w:val="none" w:sz="0" w:space="0" w:color="auto"/>
        <w:bottom w:val="none" w:sz="0" w:space="0" w:color="auto"/>
        <w:right w:val="none" w:sz="0" w:space="0" w:color="auto"/>
      </w:divBdr>
      <w:divsChild>
        <w:div w:id="1516529587">
          <w:marLeft w:val="0"/>
          <w:marRight w:val="0"/>
          <w:marTop w:val="0"/>
          <w:marBottom w:val="0"/>
          <w:divBdr>
            <w:top w:val="single" w:sz="2" w:space="0" w:color="E3E3E3"/>
            <w:left w:val="single" w:sz="2" w:space="0" w:color="E3E3E3"/>
            <w:bottom w:val="single" w:sz="2" w:space="0" w:color="E3E3E3"/>
            <w:right w:val="single" w:sz="2" w:space="0" w:color="E3E3E3"/>
          </w:divBdr>
          <w:divsChild>
            <w:div w:id="1456366671">
              <w:marLeft w:val="0"/>
              <w:marRight w:val="0"/>
              <w:marTop w:val="0"/>
              <w:marBottom w:val="0"/>
              <w:divBdr>
                <w:top w:val="single" w:sz="2" w:space="0" w:color="E3E3E3"/>
                <w:left w:val="single" w:sz="2" w:space="0" w:color="E3E3E3"/>
                <w:bottom w:val="single" w:sz="2" w:space="0" w:color="E3E3E3"/>
                <w:right w:val="single" w:sz="2" w:space="0" w:color="E3E3E3"/>
              </w:divBdr>
              <w:divsChild>
                <w:div w:id="352726111">
                  <w:marLeft w:val="0"/>
                  <w:marRight w:val="0"/>
                  <w:marTop w:val="0"/>
                  <w:marBottom w:val="0"/>
                  <w:divBdr>
                    <w:top w:val="single" w:sz="2" w:space="0" w:color="E3E3E3"/>
                    <w:left w:val="single" w:sz="2" w:space="0" w:color="E3E3E3"/>
                    <w:bottom w:val="single" w:sz="2" w:space="0" w:color="E3E3E3"/>
                    <w:right w:val="single" w:sz="2" w:space="0" w:color="E3E3E3"/>
                  </w:divBdr>
                  <w:divsChild>
                    <w:div w:id="830486906">
                      <w:marLeft w:val="0"/>
                      <w:marRight w:val="0"/>
                      <w:marTop w:val="0"/>
                      <w:marBottom w:val="0"/>
                      <w:divBdr>
                        <w:top w:val="single" w:sz="2" w:space="0" w:color="E3E3E3"/>
                        <w:left w:val="single" w:sz="2" w:space="0" w:color="E3E3E3"/>
                        <w:bottom w:val="single" w:sz="2" w:space="0" w:color="E3E3E3"/>
                        <w:right w:val="single" w:sz="2" w:space="0" w:color="E3E3E3"/>
                      </w:divBdr>
                      <w:divsChild>
                        <w:div w:id="212350757">
                          <w:marLeft w:val="0"/>
                          <w:marRight w:val="0"/>
                          <w:marTop w:val="0"/>
                          <w:marBottom w:val="0"/>
                          <w:divBdr>
                            <w:top w:val="single" w:sz="2" w:space="0" w:color="E3E3E3"/>
                            <w:left w:val="single" w:sz="2" w:space="0" w:color="E3E3E3"/>
                            <w:bottom w:val="single" w:sz="2" w:space="0" w:color="E3E3E3"/>
                            <w:right w:val="single" w:sz="2" w:space="0" w:color="E3E3E3"/>
                          </w:divBdr>
                          <w:divsChild>
                            <w:div w:id="1626740217">
                              <w:marLeft w:val="0"/>
                              <w:marRight w:val="0"/>
                              <w:marTop w:val="0"/>
                              <w:marBottom w:val="0"/>
                              <w:divBdr>
                                <w:top w:val="single" w:sz="2" w:space="0" w:color="E3E3E3"/>
                                <w:left w:val="single" w:sz="2" w:space="0" w:color="E3E3E3"/>
                                <w:bottom w:val="single" w:sz="2" w:space="0" w:color="E3E3E3"/>
                                <w:right w:val="single" w:sz="2" w:space="0" w:color="E3E3E3"/>
                              </w:divBdr>
                              <w:divsChild>
                                <w:div w:id="195388279">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953246">
                                      <w:marLeft w:val="0"/>
                                      <w:marRight w:val="0"/>
                                      <w:marTop w:val="0"/>
                                      <w:marBottom w:val="0"/>
                                      <w:divBdr>
                                        <w:top w:val="single" w:sz="2" w:space="0" w:color="E3E3E3"/>
                                        <w:left w:val="single" w:sz="2" w:space="0" w:color="E3E3E3"/>
                                        <w:bottom w:val="single" w:sz="2" w:space="0" w:color="E3E3E3"/>
                                        <w:right w:val="single" w:sz="2" w:space="0" w:color="E3E3E3"/>
                                      </w:divBdr>
                                      <w:divsChild>
                                        <w:div w:id="785545962">
                                          <w:marLeft w:val="0"/>
                                          <w:marRight w:val="0"/>
                                          <w:marTop w:val="0"/>
                                          <w:marBottom w:val="0"/>
                                          <w:divBdr>
                                            <w:top w:val="single" w:sz="2" w:space="0" w:color="E3E3E3"/>
                                            <w:left w:val="single" w:sz="2" w:space="0" w:color="E3E3E3"/>
                                            <w:bottom w:val="single" w:sz="2" w:space="0" w:color="E3E3E3"/>
                                            <w:right w:val="single" w:sz="2" w:space="0" w:color="E3E3E3"/>
                                          </w:divBdr>
                                          <w:divsChild>
                                            <w:div w:id="63070376">
                                              <w:marLeft w:val="0"/>
                                              <w:marRight w:val="0"/>
                                              <w:marTop w:val="0"/>
                                              <w:marBottom w:val="0"/>
                                              <w:divBdr>
                                                <w:top w:val="single" w:sz="2" w:space="0" w:color="E3E3E3"/>
                                                <w:left w:val="single" w:sz="2" w:space="0" w:color="E3E3E3"/>
                                                <w:bottom w:val="single" w:sz="2" w:space="0" w:color="E3E3E3"/>
                                                <w:right w:val="single" w:sz="2" w:space="0" w:color="E3E3E3"/>
                                              </w:divBdr>
                                              <w:divsChild>
                                                <w:div w:id="2101221788">
                                                  <w:marLeft w:val="0"/>
                                                  <w:marRight w:val="0"/>
                                                  <w:marTop w:val="0"/>
                                                  <w:marBottom w:val="0"/>
                                                  <w:divBdr>
                                                    <w:top w:val="single" w:sz="2" w:space="0" w:color="E3E3E3"/>
                                                    <w:left w:val="single" w:sz="2" w:space="0" w:color="E3E3E3"/>
                                                    <w:bottom w:val="single" w:sz="2" w:space="0" w:color="E3E3E3"/>
                                                    <w:right w:val="single" w:sz="2" w:space="0" w:color="E3E3E3"/>
                                                  </w:divBdr>
                                                  <w:divsChild>
                                                    <w:div w:id="775487521">
                                                      <w:marLeft w:val="0"/>
                                                      <w:marRight w:val="0"/>
                                                      <w:marTop w:val="0"/>
                                                      <w:marBottom w:val="0"/>
                                                      <w:divBdr>
                                                        <w:top w:val="single" w:sz="2" w:space="0" w:color="E3E3E3"/>
                                                        <w:left w:val="single" w:sz="2" w:space="0" w:color="E3E3E3"/>
                                                        <w:bottom w:val="single" w:sz="2" w:space="0" w:color="E3E3E3"/>
                                                        <w:right w:val="single" w:sz="2" w:space="0" w:color="E3E3E3"/>
                                                      </w:divBdr>
                                                      <w:divsChild>
                                                        <w:div w:id="425002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6430174">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cobalbert@ufl.edu" TargetMode="External"/><Relationship Id="rId18" Type="http://schemas.openxmlformats.org/officeDocument/2006/relationships/hyperlink" Target="mailto:janet.glover@ufl.edu" TargetMode="External"/><Relationship Id="rId26" Type="http://schemas.openxmlformats.org/officeDocument/2006/relationships/hyperlink" Target="mailto:a.venkedesh@ufl.edu" TargetMode="External"/><Relationship Id="rId39" Type="http://schemas.openxmlformats.org/officeDocument/2006/relationships/hyperlink" Target="https://www.pearson.com/en-us/news-events/news/2016/01/artificiaI-intelligence-in-education.html" TargetMode="External"/><Relationship Id="rId21" Type="http://schemas.openxmlformats.org/officeDocument/2006/relationships/hyperlink" Target="mailto:hatcha@ufl.edu" TargetMode="External"/><Relationship Id="rId34" Type="http://schemas.openxmlformats.org/officeDocument/2006/relationships/hyperlink" Target="https://doi.org/10.1016/j.ijinfomgt.2019.08.002" TargetMode="External"/><Relationship Id="rId42" Type="http://schemas.openxmlformats.org/officeDocument/2006/relationships/hyperlink" Target="https://doi.org/10.1111/j.1540-5885.2012.00996.x" TargetMode="External"/><Relationship Id="rId47" Type="http://schemas.openxmlformats.org/officeDocument/2006/relationships/hyperlink" Target="https://ai.ufl.edu/media/aiufledu/resources/UF-AI-BlueSky-Task-Force-Full-Report-April-2025.pdf" TargetMode="External"/><Relationship Id="rId50" Type="http://schemas.openxmlformats.org/officeDocument/2006/relationships/hyperlink" Target="https://doi.org/10.1080/00091383.2019.1618142"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ziynetboz@ufl.edu" TargetMode="External"/><Relationship Id="rId29" Type="http://schemas.openxmlformats.org/officeDocument/2006/relationships/hyperlink" Target="https://nam10.safelinks.protection.outlook.com/?url=https%3A%2F%2Fwww.idigbio.org%2F&amp;data=05%7C02%7Cjsouthwo%40ufl.edu%7C03e3b07bc5ee46d1d04b08dde58e88e9%7C0d4da0f84a314d76ace60a62331e1b84%7C0%7C0%7C638919122526592710%7CUnknown%7CTWFpbGZsb3d8eyJFbXB0eU1hcGkiOnRydWUsIlYiOiIwLjAuMDAwMCIsIlAiOiJXaW4zMiIsIkFOIjoiTWFpbCIsIldUIjoyfQ%3D%3D%7C0%7C%7C%7C&amp;sdata=Sih%2BYrmvWrNKL%2FdkEDdIQBRTcfWbEqaVNayKlTp0%2BrM%3D&amp;reserved=0" TargetMode="External"/><Relationship Id="rId11" Type="http://schemas.openxmlformats.org/officeDocument/2006/relationships/hyperlink" Target="mailto:glover@ufl.edu" TargetMode="External"/><Relationship Id="rId24" Type="http://schemas.openxmlformats.org/officeDocument/2006/relationships/hyperlink" Target="mailto:jmcnealy@ufl.edu" TargetMode="External"/><Relationship Id="rId32" Type="http://schemas.openxmlformats.org/officeDocument/2006/relationships/hyperlink" Target="https://doi.org/10.1186/s41239-020-00218-x" TargetMode="External"/><Relationship Id="rId37" Type="http://schemas.openxmlformats.org/officeDocument/2006/relationships/hyperlink" Target="https://curriculumredesign.org/wp-content/uploads/AI-in-Education-Promises-and-Implications-for-Teaching-and-Learning-Holmes-et-al.pdf" TargetMode="External"/><Relationship Id="rId40" Type="http://schemas.openxmlformats.org/officeDocument/2006/relationships/hyperlink" Target="https://dialnet.unirioja.es/ejemplar/682074" TargetMode="External"/><Relationship Id="rId45" Type="http://schemas.openxmlformats.org/officeDocument/2006/relationships/hyperlink" Target="https://doi.org/10.1177/1478210316681201" TargetMode="External"/><Relationship Id="rId53" Type="http://schemas.openxmlformats.org/officeDocument/2006/relationships/hyperlink" Target="https://www.microsoft.com/en-us/worklab/work-trend-index/ai-at-work-is-here-now-comes-the-hard-part" TargetMode="External"/><Relationship Id="rId5" Type="http://schemas.openxmlformats.org/officeDocument/2006/relationships/webSettings" Target="webSettings.xml"/><Relationship Id="rId10" Type="http://schemas.openxmlformats.org/officeDocument/2006/relationships/hyperlink" Target="mailto:sm.vanschoick@ufl.edu" TargetMode="External"/><Relationship Id="rId19" Type="http://schemas.openxmlformats.org/officeDocument/2006/relationships/hyperlink" Target="mailto:jenna04@ufl.edu" TargetMode="External"/><Relationship Id="rId31" Type="http://schemas.openxmlformats.org/officeDocument/2006/relationships/image" Target="media/image1.png"/><Relationship Id="rId44" Type="http://schemas.openxmlformats.org/officeDocument/2006/relationships/hyperlink" Target="https://doi.org/10.1007/s00146-022-01542-9" TargetMode="External"/><Relationship Id="rId52" Type="http://schemas.openxmlformats.org/officeDocument/2006/relationships/hyperlink" Target="https://doi.org/10.1186/s41239-019-0171-0" TargetMode="External"/><Relationship Id="rId4" Type="http://schemas.openxmlformats.org/officeDocument/2006/relationships/settings" Target="settings.xml"/><Relationship Id="rId9" Type="http://schemas.openxmlformats.org/officeDocument/2006/relationships/hyperlink" Target="mailto:klwhite@ufl.edu" TargetMode="External"/><Relationship Id="rId14" Type="http://schemas.openxmlformats.org/officeDocument/2006/relationships/hyperlink" Target="mailto:abihorac@ufl.edu" TargetMode="External"/><Relationship Id="rId22" Type="http://schemas.openxmlformats.org/officeDocument/2006/relationships/hyperlink" Target="mailto:p.kio@ufl.edu" TargetMode="External"/><Relationship Id="rId27" Type="http://schemas.openxmlformats.org/officeDocument/2006/relationships/hyperlink" Target="mailto:amelia@digitalworlds.ufl.edu" TargetMode="External"/><Relationship Id="rId30" Type="http://schemas.openxmlformats.org/officeDocument/2006/relationships/hyperlink" Target="https://hobi.med.ufl.edu/2025/02/24/uf-researchers-awarded-funding-to-enhance-rural-healthcare-using-mobile-ai/" TargetMode="External"/><Relationship Id="rId35" Type="http://schemas.openxmlformats.org/officeDocument/2006/relationships/hyperlink" Target="https://library.educause.edu/resources/2023/4/2023-educause-horizon-report-teaching-and-learning-edition" TargetMode="External"/><Relationship Id="rId43" Type="http://schemas.openxmlformats.org/officeDocument/2006/relationships/hyperlink" Target="https://doi.org/10.1007/s13132-023-01433-3" TargetMode="External"/><Relationship Id="rId48" Type="http://schemas.openxmlformats.org/officeDocument/2006/relationships/hyperlink" Target="https://doi.org/10.55056/cte.616" TargetMode="External"/><Relationship Id="rId56" Type="http://schemas.openxmlformats.org/officeDocument/2006/relationships/theme" Target="theme/theme1.xml"/><Relationship Id="rId8" Type="http://schemas.openxmlformats.org/officeDocument/2006/relationships/hyperlink" Target="mailto:jsouthwo@ufl.edu" TargetMode="External"/><Relationship Id="rId51" Type="http://schemas.openxmlformats.org/officeDocument/2006/relationships/hyperlink" Target="https://doi.org/10.1080/17439884.2022.2140406" TargetMode="External"/><Relationship Id="rId3" Type="http://schemas.openxmlformats.org/officeDocument/2006/relationships/styles" Target="styles.xml"/><Relationship Id="rId12" Type="http://schemas.openxmlformats.org/officeDocument/2006/relationships/hyperlink" Target="mailto:eldayrie@ufl.edu" TargetMode="External"/><Relationship Id="rId17" Type="http://schemas.openxmlformats.org/officeDocument/2006/relationships/hyperlink" Target="mailto:sdobrin@ufl.edu" TargetMode="External"/><Relationship Id="rId25" Type="http://schemas.openxmlformats.org/officeDocument/2006/relationships/hyperlink" Target="mailto:dlreed@ufl.edu" TargetMode="External"/><Relationship Id="rId33" Type="http://schemas.openxmlformats.org/officeDocument/2006/relationships/hyperlink" Target="https://doi.org/10.1108/RMJ-07-2013-0016" TargetMode="External"/><Relationship Id="rId38" Type="http://schemas.openxmlformats.org/officeDocument/2006/relationships/hyperlink" Target="https://doi.org/10.17705/1thci.00170" TargetMode="External"/><Relationship Id="rId46" Type="http://schemas.openxmlformats.org/officeDocument/2006/relationships/hyperlink" Target="https://doi.org/10.6028/NIST.SP.800-171r3" TargetMode="External"/><Relationship Id="rId20" Type="http://schemas.openxmlformats.org/officeDocument/2006/relationships/hyperlink" Target="mailto:joel.harley@ufl.edu" TargetMode="External"/><Relationship Id="rId41" Type="http://schemas.openxmlformats.org/officeDocument/2006/relationships/hyperlink" Target="https://doi.org/10.1080/07294360.2017.1370438"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bitton-bailey@aa.ufl.edu" TargetMode="External"/><Relationship Id="rId23" Type="http://schemas.openxmlformats.org/officeDocument/2006/relationships/hyperlink" Target="mailto:ufchris@ufl.edu" TargetMode="External"/><Relationship Id="rId28" Type="http://schemas.openxmlformats.org/officeDocument/2006/relationships/hyperlink" Target="mailto:azare@eng.ufl.edu" TargetMode="External"/><Relationship Id="rId36" Type="http://schemas.openxmlformats.org/officeDocument/2006/relationships/hyperlink" Target="https://hitrustalliance.net/" TargetMode="External"/><Relationship Id="rId49" Type="http://schemas.openxmlformats.org/officeDocument/2006/relationships/hyperlink" Target="https://unesdoc.unesco.org/ark:/48223/pf00003767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A017D-64FB-4BDA-9799-3D4712F3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9303</Words>
  <Characters>59819</Characters>
  <Application>Microsoft Office Word</Application>
  <DocSecurity>0</DocSecurity>
  <Lines>866</Lines>
  <Paragraphs>222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68900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Southworth,Jane</dc:creator>
  <cp:keywords/>
  <dc:description/>
  <cp:lastModifiedBy>Hoover, Aaron</cp:lastModifiedBy>
  <cp:revision>3</cp:revision>
  <cp:lastPrinted>2026-03-09T19:02:00Z</cp:lastPrinted>
  <dcterms:created xsi:type="dcterms:W3CDTF">2026-03-24T18:47:00Z</dcterms:created>
  <dcterms:modified xsi:type="dcterms:W3CDTF">2026-03-24T18:57:00Z</dcterms:modified>
</cp:coreProperties>
</file>