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267208" w14:textId="77777777" w:rsidR="00A93FC6" w:rsidRDefault="00000000">
      <w:pPr>
        <w:pStyle w:val="Heading1"/>
        <w:keepNext w:val="0"/>
        <w:keepLines w:val="0"/>
        <w:spacing w:before="480"/>
        <w:rPr>
          <w:b/>
          <w:bCs/>
          <w:sz w:val="46"/>
          <w:szCs w:val="46"/>
        </w:rPr>
      </w:pPr>
      <w:bookmarkStart w:id="0" w:name="_qre5pgwhf8h2" w:colFirst="0" w:colLast="0"/>
      <w:bookmarkEnd w:id="0"/>
      <w:r>
        <w:rPr>
          <w:b/>
          <w:bCs/>
          <w:sz w:val="46"/>
          <w:szCs w:val="46"/>
        </w:rPr>
        <w:t>Building University Technological Infrastructure to Support AI</w:t>
      </w:r>
    </w:p>
    <w:p w14:paraId="4DF174CC" w14:textId="77777777" w:rsidR="00A93FC6" w:rsidRDefault="00A93FC6"/>
    <w:p w14:paraId="431A926C" w14:textId="77777777" w:rsidR="00A93FC6" w:rsidRDefault="00000000">
      <w:r>
        <w:t>By Brittany Wise</w:t>
      </w:r>
    </w:p>
    <w:p w14:paraId="6D700AAE" w14:textId="77777777" w:rsidR="00A93FC6" w:rsidRDefault="00A93FC6"/>
    <w:p w14:paraId="7E56A00E" w14:textId="77777777" w:rsidR="00A93FC6" w:rsidRDefault="00000000">
      <w:pPr>
        <w:pStyle w:val="Heading3"/>
        <w:keepNext w:val="0"/>
        <w:keepLines w:val="0"/>
        <w:spacing w:before="280"/>
        <w:rPr>
          <w:b/>
          <w:bCs/>
          <w:color w:val="000000"/>
          <w:sz w:val="34"/>
          <w:szCs w:val="34"/>
        </w:rPr>
      </w:pPr>
      <w:bookmarkStart w:id="1" w:name="_z2oj7ztxf49p" w:colFirst="0" w:colLast="0"/>
      <w:bookmarkEnd w:id="1"/>
      <w:r>
        <w:rPr>
          <w:b/>
          <w:bCs/>
          <w:color w:val="000000"/>
          <w:sz w:val="34"/>
          <w:szCs w:val="34"/>
        </w:rPr>
        <w:t>Executive Summary</w:t>
      </w:r>
    </w:p>
    <w:p w14:paraId="5C473A30" w14:textId="77777777" w:rsidR="00A93FC6" w:rsidRDefault="00000000">
      <w:pPr>
        <w:spacing w:before="240" w:after="240"/>
      </w:pPr>
      <w:r>
        <w:t>As artificial intelligence becomes embedded across teaching, research, and administrative functions, universities face a strategic choice: whether to treat AI infrastructure as a collection of technology purchases or as a core institutional capability. Experience shows that institutions that focus primarily on acquiring hardware or cloud services without first establishing staffing, governance, compliance, and operational readiness struggle to translate AI investments into durable academic impact.</w:t>
      </w:r>
    </w:p>
    <w:p w14:paraId="33901C14" w14:textId="77777777" w:rsidR="00A93FC6" w:rsidRDefault="00000000">
      <w:pPr>
        <w:spacing w:before="240" w:after="240"/>
      </w:pPr>
      <w:r>
        <w:t>Effective AI infrastructure is not defined by scale alone. It is defined by alignment between institutional goals and computing capacity; faculty demand and support services; and regulatory obligations and operational controls. Universities that succeed approach AI infrastructure as a long-term organizational commitment requiring coordinated leadership across academic affairs, research operations, information technology, finance, and compliance.</w:t>
      </w:r>
    </w:p>
    <w:p w14:paraId="3A920089" w14:textId="77777777" w:rsidR="00A93FC6" w:rsidRDefault="00000000">
      <w:pPr>
        <w:spacing w:before="240" w:after="240"/>
      </w:pPr>
      <w:r>
        <w:t>Institutions typically follow a maturity pathway across three models.</w:t>
      </w:r>
    </w:p>
    <w:p w14:paraId="0E2B565F" w14:textId="77777777" w:rsidR="00A93FC6" w:rsidRDefault="00000000">
      <w:pPr>
        <w:numPr>
          <w:ilvl w:val="0"/>
          <w:numId w:val="8"/>
        </w:numPr>
        <w:spacing w:before="240"/>
      </w:pPr>
      <w:r>
        <w:rPr>
          <w:b/>
          <w:bCs/>
        </w:rPr>
        <w:t>Cloud-Based:</w:t>
      </w:r>
      <w:r>
        <w:t xml:space="preserve"> Low upfront cost; ideal for testing demand</w:t>
      </w:r>
    </w:p>
    <w:p w14:paraId="2F9D42BE" w14:textId="77777777" w:rsidR="00A93FC6" w:rsidRDefault="00000000">
      <w:pPr>
        <w:numPr>
          <w:ilvl w:val="0"/>
          <w:numId w:val="8"/>
        </w:numPr>
      </w:pPr>
      <w:r>
        <w:rPr>
          <w:b/>
          <w:bCs/>
        </w:rPr>
        <w:t>Shared/Consortium:</w:t>
      </w:r>
      <w:r>
        <w:t xml:space="preserve"> Access to advanced resources without full ownership</w:t>
      </w:r>
    </w:p>
    <w:p w14:paraId="3F1650C2" w14:textId="77777777" w:rsidR="00A93FC6" w:rsidRDefault="00000000">
      <w:pPr>
        <w:numPr>
          <w:ilvl w:val="0"/>
          <w:numId w:val="8"/>
        </w:numPr>
        <w:spacing w:after="240"/>
      </w:pPr>
      <w:r>
        <w:rPr>
          <w:b/>
          <w:bCs/>
        </w:rPr>
        <w:t xml:space="preserve">On-Campus: </w:t>
      </w:r>
      <w:r>
        <w:t>Maximum control and long-term cost-efficiency for high, sustained demand.</w:t>
      </w:r>
      <w:r>
        <w:br/>
      </w:r>
    </w:p>
    <w:p w14:paraId="5625053B" w14:textId="77777777" w:rsidR="00A93FC6" w:rsidRDefault="00000000">
      <w:pPr>
        <w:spacing w:before="240" w:after="240"/>
      </w:pPr>
      <w:r>
        <w:t>Many universities begin with cloud-based services to assess demand and build internal expertise, transition to shared systems as needs expand, and ultimately invest in on-campus infrastructure once workloads, staffing, and governance are mature.</w:t>
      </w:r>
    </w:p>
    <w:p w14:paraId="654691B5" w14:textId="77777777" w:rsidR="00A93FC6" w:rsidRDefault="00000000">
      <w:pPr>
        <w:spacing w:before="240" w:after="240"/>
      </w:pPr>
      <w:r>
        <w:t>Across all models, three conditions consistently determine success:</w:t>
      </w:r>
    </w:p>
    <w:p w14:paraId="5F50AE75" w14:textId="77777777" w:rsidR="00A93FC6" w:rsidRDefault="00000000">
      <w:pPr>
        <w:numPr>
          <w:ilvl w:val="0"/>
          <w:numId w:val="2"/>
        </w:numPr>
        <w:spacing w:before="240"/>
      </w:pPr>
      <w:r>
        <w:rPr>
          <w:b/>
          <w:bCs/>
        </w:rPr>
        <w:t>Operational Readiness</w:t>
      </w:r>
      <w:r>
        <w:t>: Expertise in staffing, training and compliance must precede technology scaling.</w:t>
      </w:r>
    </w:p>
    <w:p w14:paraId="3541B950" w14:textId="77777777" w:rsidR="00A93FC6" w:rsidRDefault="00000000">
      <w:pPr>
        <w:numPr>
          <w:ilvl w:val="0"/>
          <w:numId w:val="2"/>
        </w:numPr>
      </w:pPr>
      <w:r>
        <w:rPr>
          <w:b/>
          <w:bCs/>
        </w:rPr>
        <w:t>Governance:</w:t>
      </w:r>
      <w:r>
        <w:t xml:space="preserve"> Clear policies for data protection, cost allocation, and access.</w:t>
      </w:r>
    </w:p>
    <w:p w14:paraId="356F00BD" w14:textId="77777777" w:rsidR="00A93FC6" w:rsidRDefault="00000000">
      <w:pPr>
        <w:numPr>
          <w:ilvl w:val="0"/>
          <w:numId w:val="2"/>
        </w:numPr>
        <w:spacing w:after="240"/>
      </w:pPr>
      <w:r>
        <w:rPr>
          <w:b/>
          <w:bCs/>
        </w:rPr>
        <w:t>Financial Sustainability:</w:t>
      </w:r>
      <w:r>
        <w:t xml:space="preserve"> Planning for long-term operational costs, not just initial acquisition.</w:t>
      </w:r>
      <w:r>
        <w:br/>
      </w:r>
    </w:p>
    <w:p w14:paraId="7E7C21DB" w14:textId="77777777" w:rsidR="00A93FC6" w:rsidRDefault="00000000">
      <w:pPr>
        <w:spacing w:before="240" w:after="240"/>
      </w:pPr>
      <w:r>
        <w:lastRenderedPageBreak/>
        <w:t>This paper provides a practical framework to help universities evaluate their best pathway, align AI infrastructure decisions with institutional goals, and avoid the common pitfall of investing in technology before building the organizational capacity required to support it.</w:t>
      </w:r>
    </w:p>
    <w:p w14:paraId="7B2BCE88" w14:textId="77777777" w:rsidR="00A93FC6" w:rsidRDefault="00000000">
      <w:pPr>
        <w:pStyle w:val="Heading2"/>
        <w:keepNext w:val="0"/>
        <w:keepLines w:val="0"/>
        <w:spacing w:after="80"/>
        <w:rPr>
          <w:b/>
          <w:bCs/>
          <w:sz w:val="34"/>
          <w:szCs w:val="34"/>
        </w:rPr>
      </w:pPr>
      <w:bookmarkStart w:id="2" w:name="_c7fzeb4ociyo" w:colFirst="0" w:colLast="0"/>
      <w:bookmarkEnd w:id="2"/>
      <w:r>
        <w:rPr>
          <w:b/>
          <w:bCs/>
          <w:sz w:val="34"/>
          <w:szCs w:val="34"/>
        </w:rPr>
        <w:t>Choosing Computing Infrastructure</w:t>
      </w:r>
    </w:p>
    <w:p w14:paraId="5A9F40E6" w14:textId="77777777" w:rsidR="00A93FC6" w:rsidRDefault="00000000">
      <w:pPr>
        <w:spacing w:before="240" w:after="240"/>
      </w:pPr>
      <w:r>
        <w:t xml:space="preserve">The requirements and trade-offs for each pathway are below. </w:t>
      </w:r>
    </w:p>
    <w:p w14:paraId="2A899D62" w14:textId="77777777" w:rsidR="00A93FC6" w:rsidRDefault="00A93FC6">
      <w:pPr>
        <w:spacing w:before="240" w:after="240"/>
        <w:rPr>
          <w:b/>
          <w:bCs/>
        </w:rPr>
      </w:pPr>
    </w:p>
    <w:p w14:paraId="7C678CAB" w14:textId="77777777" w:rsidR="00A93FC6" w:rsidRDefault="00000000">
      <w:pPr>
        <w:spacing w:before="240" w:after="240"/>
        <w:rPr>
          <w:b/>
          <w:bCs/>
          <w:sz w:val="26"/>
          <w:szCs w:val="26"/>
          <w:u w:val="single"/>
        </w:rPr>
      </w:pPr>
      <w:r>
        <w:rPr>
          <w:b/>
          <w:bCs/>
          <w:sz w:val="26"/>
          <w:szCs w:val="26"/>
          <w:u w:val="single"/>
        </w:rPr>
        <w:t>On-Campus High-Performance Systems</w:t>
      </w:r>
    </w:p>
    <w:p w14:paraId="2B8C74AF" w14:textId="77777777" w:rsidR="00A93FC6" w:rsidRDefault="00000000">
      <w:pPr>
        <w:spacing w:before="240" w:after="240"/>
      </w:pPr>
      <w:r>
        <w:t>Housing AI infrastructure on campus provides fast, reliable access, direct control over security and compliance, and the ability to customize the environment to faculty and student needs. It also allows universities to offer hands-on, pedagogical experiences where students can flex their AI muscles and experiment at scale.</w:t>
      </w:r>
    </w:p>
    <w:p w14:paraId="46651B17" w14:textId="77777777" w:rsidR="00A93FC6" w:rsidRDefault="00000000">
      <w:pPr>
        <w:spacing w:before="240" w:after="240"/>
      </w:pPr>
      <w:r>
        <w:t xml:space="preserve">A supercomputer requires a team that knows how to run it, support users, secure sensitive data, and integrate it into teaching and research workflows. As an analogy, a new racecar without a seasoned pit crew will not win races. Universities must first build the people, processes, and governance required to run advanced systems reliably. </w:t>
      </w:r>
    </w:p>
    <w:p w14:paraId="2FCD2011" w14:textId="77777777" w:rsidR="00A93FC6" w:rsidRDefault="00000000">
      <w:pPr>
        <w:spacing w:before="240" w:after="240"/>
        <w:rPr>
          <w:b/>
          <w:bCs/>
          <w:sz w:val="26"/>
          <w:szCs w:val="26"/>
          <w:u w:val="single"/>
        </w:rPr>
      </w:pPr>
      <w:r>
        <w:t>Only then does it make sense to acquire or accept a major hardware investment, whether through purchase, philanthropy, or partnership. Considerations for on-campus high-performance systems include:</w:t>
      </w:r>
    </w:p>
    <w:p w14:paraId="6B53F66D" w14:textId="77777777" w:rsidR="00A93FC6" w:rsidRDefault="00000000">
      <w:pPr>
        <w:numPr>
          <w:ilvl w:val="1"/>
          <w:numId w:val="4"/>
        </w:numPr>
        <w:spacing w:before="240"/>
      </w:pPr>
      <w:r>
        <w:rPr>
          <w:b/>
          <w:bCs/>
        </w:rPr>
        <w:t xml:space="preserve">Capital &amp; Facilities: </w:t>
      </w:r>
      <w:r>
        <w:t>On-campus systems require significant investment in power and HVAC. While smaller institutions can use cloud resources or scaled-down hardware, on-campus systems align with a long-term goal of sustainability.</w:t>
      </w:r>
    </w:p>
    <w:p w14:paraId="0F21B407" w14:textId="77777777" w:rsidR="00A93FC6" w:rsidRDefault="00000000">
      <w:pPr>
        <w:numPr>
          <w:ilvl w:val="1"/>
          <w:numId w:val="4"/>
        </w:numPr>
      </w:pPr>
      <w:r>
        <w:rPr>
          <w:b/>
          <w:bCs/>
        </w:rPr>
        <w:t>Staffing:</w:t>
      </w:r>
      <w:r>
        <w:t xml:space="preserve"> Technical impact is driven by people, not just parts. A major system requires dedicated specialists to assist faculty with computation, data retrieval and software integration.</w:t>
      </w:r>
    </w:p>
    <w:p w14:paraId="1B0430E9" w14:textId="77777777" w:rsidR="00A93FC6" w:rsidRDefault="00000000">
      <w:pPr>
        <w:numPr>
          <w:ilvl w:val="1"/>
          <w:numId w:val="4"/>
        </w:numPr>
      </w:pPr>
      <w:r>
        <w:rPr>
          <w:b/>
          <w:bCs/>
        </w:rPr>
        <w:t>Policy and Governance:</w:t>
      </w:r>
      <w:r>
        <w:t xml:space="preserve"> On-campus systems provide full control over compliance (FERPA, HIPAA, export controls). While cloud providers handle physical security, the institution remains responsible for roughly two-thirds of regulatory controls.</w:t>
      </w:r>
    </w:p>
    <w:p w14:paraId="0AD50F3F" w14:textId="77777777" w:rsidR="00A93FC6" w:rsidRDefault="00000000">
      <w:pPr>
        <w:numPr>
          <w:ilvl w:val="1"/>
          <w:numId w:val="4"/>
        </w:numPr>
      </w:pPr>
      <w:r>
        <w:rPr>
          <w:b/>
          <w:bCs/>
        </w:rPr>
        <w:t>Cost-effectiveness:</w:t>
      </w:r>
      <w:r>
        <w:t xml:space="preserve">  Cloud is ideal for spiky or initial workloads. Once usage stabilizes to 24/7 demand, on-campus infrastructure typically costs one-third to one-half the price of equivalent cloud services.</w:t>
      </w:r>
    </w:p>
    <w:p w14:paraId="2AB6AAFF" w14:textId="77777777" w:rsidR="00A93FC6" w:rsidRDefault="00A93FC6"/>
    <w:p w14:paraId="3CCABA93" w14:textId="77777777" w:rsidR="00A93FC6" w:rsidRDefault="00000000">
      <w:pPr>
        <w:spacing w:before="240" w:after="240"/>
        <w:rPr>
          <w:b/>
          <w:bCs/>
          <w:sz w:val="26"/>
          <w:szCs w:val="26"/>
          <w:u w:val="single"/>
        </w:rPr>
      </w:pPr>
      <w:r>
        <w:rPr>
          <w:b/>
          <w:bCs/>
          <w:sz w:val="26"/>
          <w:szCs w:val="26"/>
          <w:u w:val="single"/>
        </w:rPr>
        <w:t>Cloud-Based &amp; Shared Systems</w:t>
      </w:r>
    </w:p>
    <w:p w14:paraId="48646D3F" w14:textId="77777777" w:rsidR="00A93FC6" w:rsidRDefault="00000000">
      <w:pPr>
        <w:spacing w:before="240" w:after="240"/>
      </w:pPr>
      <w:r>
        <w:t xml:space="preserve">Cloud-based and consortium AI infrastructure provides a flexible, lower-commitment entry point for institutions with limited budgets, emerging technical operations, or uncertain demand. These models enable rapid access to advanced computing without the capital investment, facilities </w:t>
      </w:r>
      <w:r>
        <w:lastRenderedPageBreak/>
        <w:t>requirements, or long lead times associated with on-campus systems, making them well suited for teaching, pilot research, and early experimentation.</w:t>
      </w:r>
    </w:p>
    <w:p w14:paraId="4FBFED8A" w14:textId="77777777" w:rsidR="00A93FC6" w:rsidRDefault="00000000">
      <w:pPr>
        <w:spacing w:before="240" w:after="240"/>
      </w:pPr>
      <w:r>
        <w:t>These approaches are best understood as a rental model rather than ownership. They allow universities to meet immediate instructional and research needs while deferring long-term infrastructure commitments. As an on-ramp, cloud and shared systems give institutions time to assess true demand, develop internal expertise, and determine whether a future transition to permanent, on-campus infrastructure is justified.</w:t>
      </w:r>
    </w:p>
    <w:p w14:paraId="1108B74E" w14:textId="77777777" w:rsidR="00A93FC6" w:rsidRDefault="00000000">
      <w:pPr>
        <w:spacing w:before="240" w:after="240"/>
      </w:pPr>
      <w:r>
        <w:t>However, cloud infrastructure is not a turnkey solution. While providers manage physical hardware, institutions remain responsible for cost control, system configuration and support, and regulatory compliance. Without clear governance and active oversight, cloud usage can become fragmented, expensive, and misaligned with institutional priorities.</w:t>
      </w:r>
    </w:p>
    <w:p w14:paraId="166CDB98" w14:textId="77777777" w:rsidR="00A93FC6" w:rsidRDefault="00000000">
      <w:pPr>
        <w:spacing w:before="240" w:after="240"/>
      </w:pPr>
      <w:r>
        <w:t>Key considerations for cloud-based and shared models include:</w:t>
      </w:r>
    </w:p>
    <w:p w14:paraId="693108CB" w14:textId="77777777" w:rsidR="00A93FC6" w:rsidRDefault="00000000">
      <w:pPr>
        <w:numPr>
          <w:ilvl w:val="0"/>
          <w:numId w:val="1"/>
        </w:numPr>
        <w:spacing w:before="240"/>
      </w:pPr>
      <w:r>
        <w:rPr>
          <w:b/>
          <w:bCs/>
        </w:rPr>
        <w:t>Cost Management:</w:t>
      </w:r>
      <w:r>
        <w:t xml:space="preserve"> Pay-as-you-go pricing lowers barriers to entry but can lead to rapid cost escalation without monitoring, budgeting controls, or usage limits. Long-running or predictable workloads are often more cost-effective on shared or on-campus systems.</w:t>
      </w:r>
      <w:r>
        <w:br/>
      </w:r>
    </w:p>
    <w:p w14:paraId="192B44E4" w14:textId="77777777" w:rsidR="00A93FC6" w:rsidRDefault="00000000">
      <w:pPr>
        <w:numPr>
          <w:ilvl w:val="0"/>
          <w:numId w:val="1"/>
        </w:numPr>
      </w:pPr>
      <w:r>
        <w:rPr>
          <w:b/>
          <w:bCs/>
        </w:rPr>
        <w:t>Operational Capacity:</w:t>
      </w:r>
      <w:r>
        <w:t xml:space="preserve"> Even in a rental model, local staff are required to architect and configure the cloud system, install and maintain software stacks, support users, manage accounts, configure user environments, and integrate cloud resources into teaching and research workflows.</w:t>
      </w:r>
      <w:r>
        <w:br/>
      </w:r>
    </w:p>
    <w:p w14:paraId="2BFE9CF2" w14:textId="77777777" w:rsidR="00A93FC6" w:rsidRDefault="00000000">
      <w:pPr>
        <w:numPr>
          <w:ilvl w:val="0"/>
          <w:numId w:val="1"/>
        </w:numPr>
      </w:pPr>
      <w:r>
        <w:rPr>
          <w:b/>
          <w:bCs/>
        </w:rPr>
        <w:t>Data Governance &amp; Compliance:</w:t>
      </w:r>
      <w:r>
        <w:t xml:space="preserve"> Cloud providers typically cover physical and some technical controls, but institutions retain responsibility for the majority of compliance obligations under FERPA, HIPAA, export controls, and NIST frameworks. Clear policies and audit readiness remain essential.</w:t>
      </w:r>
      <w:r>
        <w:br/>
      </w:r>
    </w:p>
    <w:p w14:paraId="61D7B9A4" w14:textId="77777777" w:rsidR="00A93FC6" w:rsidRDefault="00000000">
      <w:pPr>
        <w:numPr>
          <w:ilvl w:val="0"/>
          <w:numId w:val="1"/>
        </w:numPr>
        <w:spacing w:after="240"/>
      </w:pPr>
      <w:r>
        <w:rPr>
          <w:b/>
          <w:bCs/>
        </w:rPr>
        <w:t>Strategic Fit:</w:t>
      </w:r>
      <w:r>
        <w:t xml:space="preserve"> Cloud and shared systems are most effective for bursty workloads, pilots, and institutions still building AI maturity. They are less effective as a long-term substitute for sustained, 24/7 computational demand.</w:t>
      </w:r>
    </w:p>
    <w:p w14:paraId="2BF9BE97" w14:textId="77777777" w:rsidR="00A93FC6" w:rsidRDefault="00A93FC6">
      <w:pPr>
        <w:pStyle w:val="Heading2"/>
        <w:keepNext w:val="0"/>
        <w:keepLines w:val="0"/>
        <w:spacing w:after="80"/>
        <w:rPr>
          <w:b/>
          <w:bCs/>
          <w:sz w:val="34"/>
          <w:szCs w:val="34"/>
        </w:rPr>
      </w:pPr>
      <w:bookmarkStart w:id="3" w:name="_49w8ao4mngox" w:colFirst="0" w:colLast="0"/>
      <w:bookmarkEnd w:id="3"/>
    </w:p>
    <w:p w14:paraId="271183EB" w14:textId="77777777" w:rsidR="00A93FC6" w:rsidRDefault="00000000">
      <w:pPr>
        <w:pStyle w:val="Heading2"/>
        <w:keepNext w:val="0"/>
        <w:keepLines w:val="0"/>
        <w:spacing w:after="80"/>
        <w:rPr>
          <w:b/>
          <w:bCs/>
          <w:sz w:val="34"/>
          <w:szCs w:val="34"/>
        </w:rPr>
      </w:pPr>
      <w:bookmarkStart w:id="4" w:name="_in32eoie4pdv" w:colFirst="0" w:colLast="0"/>
      <w:bookmarkEnd w:id="4"/>
      <w:r>
        <w:rPr>
          <w:b/>
          <w:bCs/>
          <w:sz w:val="34"/>
          <w:szCs w:val="34"/>
        </w:rPr>
        <w:t>Implementation Timeline</w:t>
      </w:r>
    </w:p>
    <w:p w14:paraId="65FE98C6" w14:textId="77777777" w:rsidR="00A93FC6" w:rsidRDefault="00000000">
      <w:pPr>
        <w:numPr>
          <w:ilvl w:val="0"/>
          <w:numId w:val="9"/>
        </w:numPr>
        <w:spacing w:before="240"/>
      </w:pPr>
      <w:r>
        <w:rPr>
          <w:b/>
          <w:bCs/>
        </w:rPr>
        <w:t>Months 1–3: Strategic Alignment and Feasibility</w:t>
      </w:r>
      <w:r>
        <w:rPr>
          <w:b/>
          <w:bCs/>
        </w:rPr>
        <w:br/>
      </w:r>
      <w:r>
        <w:t>Define institutional AI goals, funding pathways, and regulatory requirements (e.g., HIPAA, FERPA, export controls). In parallel, assess on-campus capacity (power, HVAC) or evaluate cloud and consortium providers for compliance and cost suitability to determine the hosting path.</w:t>
      </w:r>
    </w:p>
    <w:p w14:paraId="7337CBED" w14:textId="77777777" w:rsidR="00A93FC6" w:rsidRDefault="00000000">
      <w:pPr>
        <w:numPr>
          <w:ilvl w:val="0"/>
          <w:numId w:val="9"/>
        </w:numPr>
      </w:pPr>
      <w:r>
        <w:rPr>
          <w:b/>
          <w:bCs/>
        </w:rPr>
        <w:t>Months 3–6: Operational Foundation</w:t>
      </w:r>
      <w:r>
        <w:rPr>
          <w:b/>
          <w:bCs/>
        </w:rPr>
        <w:br/>
      </w:r>
      <w:r>
        <w:t xml:space="preserve">Recruit or train core staff (system administrators and compliance specialists), formalize governance structures, and codify security, responsible-use, and auditing policies. </w:t>
      </w:r>
      <w:r>
        <w:lastRenderedPageBreak/>
        <w:t>Develop self-service documentation and tutorials for basic tasks (e.g., account access, job submission) to reduce the “embarrassment barrier” for new users and allow high-value staff to focus on advanced research support rather than routine troubleshooting.</w:t>
      </w:r>
    </w:p>
    <w:p w14:paraId="3E9747CC" w14:textId="77777777" w:rsidR="00A93FC6" w:rsidRDefault="00000000">
      <w:pPr>
        <w:numPr>
          <w:ilvl w:val="0"/>
          <w:numId w:val="9"/>
        </w:numPr>
        <w:spacing w:after="240"/>
      </w:pPr>
      <w:r>
        <w:rPr>
          <w:b/>
          <w:bCs/>
        </w:rPr>
        <w:t>Months 6–24: Implementation, Deployment, and Scaling</w:t>
      </w:r>
      <w:r>
        <w:rPr>
          <w:b/>
          <w:bCs/>
        </w:rPr>
        <w:br/>
      </w:r>
      <w:r>
        <w:t>Execute infrastructure implementation (hardware installation or cloud configuration), launch pilot teaching and research workflows, and validate support and governance processes under real usage. Use early projects to stress-test cost controls, compliance procedures, and resource allocation before expanding to full-scale institutional adoption.</w:t>
      </w:r>
    </w:p>
    <w:p w14:paraId="4CAA2AF6" w14:textId="77777777" w:rsidR="00A93FC6" w:rsidRDefault="00A93FC6"/>
    <w:p w14:paraId="373EEEA4" w14:textId="77777777" w:rsidR="00A93FC6" w:rsidRDefault="00A93FC6"/>
    <w:p w14:paraId="0455EA2A" w14:textId="77777777" w:rsidR="00A93FC6" w:rsidRDefault="00000000">
      <w:pPr>
        <w:rPr>
          <w:b/>
          <w:bCs/>
          <w:sz w:val="34"/>
          <w:szCs w:val="34"/>
        </w:rPr>
      </w:pPr>
      <w:r>
        <w:rPr>
          <w:b/>
          <w:bCs/>
          <w:sz w:val="34"/>
          <w:szCs w:val="34"/>
        </w:rPr>
        <w:t xml:space="preserve">Core Technical Capabilities </w:t>
      </w:r>
    </w:p>
    <w:p w14:paraId="6F0505E7" w14:textId="77777777" w:rsidR="00A93FC6" w:rsidRDefault="00A93FC6"/>
    <w:p w14:paraId="2EC0550C" w14:textId="77777777" w:rsidR="00A93FC6" w:rsidRDefault="00000000">
      <w:r>
        <w:t>Whether the system is on-campus or in the cloud, the following features are needed:</w:t>
      </w:r>
    </w:p>
    <w:p w14:paraId="238B7704" w14:textId="77777777" w:rsidR="00A93FC6" w:rsidRDefault="00A93FC6"/>
    <w:p w14:paraId="38619D22" w14:textId="77777777" w:rsidR="00A93FC6" w:rsidRDefault="00000000">
      <w:pPr>
        <w:numPr>
          <w:ilvl w:val="0"/>
          <w:numId w:val="6"/>
        </w:numPr>
      </w:pPr>
      <w:r>
        <w:rPr>
          <w:b/>
          <w:bCs/>
        </w:rPr>
        <w:t xml:space="preserve">High-Performance Compute: </w:t>
      </w:r>
      <w:r>
        <w:t xml:space="preserve">A balanced portfolio of CPUs for simulation and high-ram GPUs for large-scale AI training and inference. </w:t>
      </w:r>
    </w:p>
    <w:p w14:paraId="13D60289" w14:textId="77777777" w:rsidR="00A93FC6" w:rsidRDefault="00000000">
      <w:pPr>
        <w:numPr>
          <w:ilvl w:val="0"/>
          <w:numId w:val="6"/>
        </w:numPr>
      </w:pPr>
      <w:r>
        <w:rPr>
          <w:b/>
          <w:bCs/>
        </w:rPr>
        <w:t>Architectural Throughput:</w:t>
      </w:r>
      <w:r>
        <w:t xml:space="preserve"> An integrated low-latency fabric (e.g., Infinibrand) and tiered storage (all-flash for active data, high-capacity for archives) to prevent performance bottlenecks.</w:t>
      </w:r>
    </w:p>
    <w:p w14:paraId="142C0BCD" w14:textId="77777777" w:rsidR="00A93FC6" w:rsidRDefault="00000000">
      <w:pPr>
        <w:numPr>
          <w:ilvl w:val="0"/>
          <w:numId w:val="6"/>
        </w:numPr>
      </w:pPr>
      <w:r>
        <w:rPr>
          <w:b/>
          <w:bCs/>
        </w:rPr>
        <w:t>Advanced Ecosystems:</w:t>
      </w:r>
      <w:r>
        <w:t xml:space="preserve"> Native support for “Digital Twins” (NVIDIA Ominverse), quantum simulation, and massive parallel file systems (Lustre).</w:t>
      </w:r>
    </w:p>
    <w:p w14:paraId="78CD7CA1" w14:textId="77777777" w:rsidR="00A93FC6" w:rsidRDefault="00000000">
      <w:pPr>
        <w:numPr>
          <w:ilvl w:val="0"/>
          <w:numId w:val="6"/>
        </w:numPr>
      </w:pPr>
      <w:r>
        <w:rPr>
          <w:b/>
          <w:bCs/>
        </w:rPr>
        <w:t xml:space="preserve">Verified Environments: </w:t>
      </w:r>
      <w:r>
        <w:t>Environments pre-certified for restricted data (NIST 800-171, CMMC, or HITRUST) to enable high-stakes research without manual setup for every project.</w:t>
      </w:r>
    </w:p>
    <w:p w14:paraId="7E331F6D" w14:textId="77777777" w:rsidR="00A93FC6" w:rsidRDefault="00A93FC6"/>
    <w:p w14:paraId="0A498B04" w14:textId="77777777" w:rsidR="00A93FC6" w:rsidRDefault="00A93FC6"/>
    <w:p w14:paraId="4266DA04" w14:textId="77777777" w:rsidR="00A93FC6" w:rsidRDefault="00A93FC6"/>
    <w:p w14:paraId="7EC6A2D1" w14:textId="77777777" w:rsidR="00A93FC6" w:rsidRDefault="00000000">
      <w:r>
        <w:t>Below is a technical summary of HiPerGator, UF’s high-performance computing system, which supports teaching, research and AI workloads across the state.The table contains a lot of details for IT specialists to see the full list of capabilities to support the spectrum of possible services that a comprehensive deployment may need. While a top-tier system like this is not for everyone, smaller institutions can achieve meaningful capability for more modest deployments.For systems that serve a consortium of institutions in a region, complexity similar to HiPerGator may be needed.</w:t>
      </w:r>
    </w:p>
    <w:p w14:paraId="25612430" w14:textId="77777777" w:rsidR="00A93FC6" w:rsidRDefault="00A93FC6"/>
    <w:tbl>
      <w:tblPr>
        <w:tblStyle w:val="a"/>
        <w:tblW w:w="11595" w:type="dxa"/>
        <w:tblInd w:w="-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2445"/>
        <w:gridCol w:w="9150"/>
      </w:tblGrid>
      <w:tr w:rsidR="00A93FC6" w14:paraId="552E973E" w14:textId="77777777" w:rsidTr="00E4225B">
        <w:trPr>
          <w:trHeight w:val="345"/>
        </w:trPr>
        <w:tc>
          <w:tcPr>
            <w:tcW w:w="11595" w:type="dxa"/>
            <w:gridSpan w:val="2"/>
            <w:tcBorders>
              <w:left w:val="single" w:sz="8" w:space="0" w:color="000000"/>
              <w:bottom w:val="single" w:sz="8" w:space="0" w:color="000000"/>
              <w:right w:val="single" w:sz="8" w:space="0" w:color="000000"/>
            </w:tcBorders>
            <w:shd w:val="clear" w:color="auto" w:fill="0021A5"/>
            <w:tcMar>
              <w:top w:w="0" w:type="dxa"/>
              <w:left w:w="100" w:type="dxa"/>
              <w:bottom w:w="0" w:type="dxa"/>
              <w:right w:w="100" w:type="dxa"/>
            </w:tcMar>
          </w:tcPr>
          <w:p w14:paraId="1AB60D72" w14:textId="77777777" w:rsidR="00A93FC6" w:rsidRDefault="00000000">
            <w:pPr>
              <w:ind w:left="-180"/>
              <w:jc w:val="center"/>
              <w:rPr>
                <w:b/>
                <w:bCs/>
                <w:sz w:val="32"/>
                <w:szCs w:val="32"/>
              </w:rPr>
            </w:pPr>
            <w:r>
              <w:rPr>
                <w:b/>
                <w:bCs/>
                <w:sz w:val="32"/>
                <w:szCs w:val="32"/>
              </w:rPr>
              <w:t>HiPerGator Technical Summary</w:t>
            </w:r>
          </w:p>
        </w:tc>
      </w:tr>
      <w:tr w:rsidR="00A93FC6" w14:paraId="2EBDBFBB" w14:textId="77777777" w:rsidTr="00E4225B">
        <w:trPr>
          <w:trHeight w:val="270"/>
        </w:trPr>
        <w:tc>
          <w:tcPr>
            <w:tcW w:w="11595" w:type="dxa"/>
            <w:gridSpan w:val="2"/>
            <w:tcBorders>
              <w:left w:val="single" w:sz="8" w:space="0" w:color="000000"/>
              <w:bottom w:val="single" w:sz="8" w:space="0" w:color="000000"/>
              <w:right w:val="single" w:sz="8" w:space="0" w:color="000000"/>
            </w:tcBorders>
            <w:shd w:val="clear" w:color="auto" w:fill="FA4616"/>
            <w:tcMar>
              <w:top w:w="0" w:type="dxa"/>
              <w:left w:w="100" w:type="dxa"/>
              <w:bottom w:w="0" w:type="dxa"/>
              <w:right w:w="100" w:type="dxa"/>
            </w:tcMar>
          </w:tcPr>
          <w:p w14:paraId="776D14A4" w14:textId="77777777" w:rsidR="00A93FC6" w:rsidRDefault="00000000">
            <w:pPr>
              <w:ind w:left="-180"/>
              <w:jc w:val="center"/>
              <w:rPr>
                <w:b/>
                <w:bCs/>
                <w:sz w:val="24"/>
                <w:szCs w:val="24"/>
              </w:rPr>
            </w:pPr>
            <w:r>
              <w:rPr>
                <w:b/>
                <w:bCs/>
                <w:sz w:val="24"/>
                <w:szCs w:val="24"/>
              </w:rPr>
              <w:t>January 2026</w:t>
            </w:r>
          </w:p>
        </w:tc>
      </w:tr>
      <w:tr w:rsidR="00A93FC6" w14:paraId="7F0D83EF" w14:textId="77777777" w:rsidTr="00E4225B">
        <w:trPr>
          <w:trHeight w:val="825"/>
        </w:trPr>
        <w:tc>
          <w:tcPr>
            <w:tcW w:w="24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712EFE" w14:textId="77777777" w:rsidR="00A93FC6" w:rsidRDefault="00000000">
            <w:pPr>
              <w:ind w:left="-180"/>
              <w:jc w:val="center"/>
              <w:rPr>
                <w:b/>
                <w:bCs/>
              </w:rPr>
            </w:pPr>
            <w:r>
              <w:rPr>
                <w:b/>
                <w:bCs/>
              </w:rPr>
              <w:t>CPU Core Portfolio</w:t>
            </w:r>
          </w:p>
        </w:tc>
        <w:tc>
          <w:tcPr>
            <w:tcW w:w="9150" w:type="dxa"/>
            <w:tcBorders>
              <w:bottom w:val="single" w:sz="8" w:space="0" w:color="000000"/>
              <w:right w:val="single" w:sz="8" w:space="0" w:color="000000"/>
            </w:tcBorders>
            <w:tcMar>
              <w:top w:w="0" w:type="dxa"/>
              <w:left w:w="100" w:type="dxa"/>
              <w:bottom w:w="0" w:type="dxa"/>
              <w:right w:w="100" w:type="dxa"/>
            </w:tcMar>
          </w:tcPr>
          <w:p w14:paraId="512499BE" w14:textId="77777777" w:rsidR="00A93FC6" w:rsidRDefault="00000000">
            <w:pPr>
              <w:ind w:left="-180"/>
              <w:jc w:val="center"/>
            </w:pPr>
            <w:r>
              <w:t>Total of 60,000 CPU cores (8 GB RAM per core)</w:t>
            </w:r>
          </w:p>
          <w:p w14:paraId="042AF534" w14:textId="77777777" w:rsidR="00A93FC6" w:rsidRDefault="00000000">
            <w:pPr>
              <w:spacing w:before="240"/>
              <w:ind w:left="-180"/>
              <w:jc w:val="center"/>
            </w:pPr>
            <w:r>
              <w:t>Core mix: 40,000 AMD EPYC (2021), 19,000 AMD EPYC (2025)</w:t>
            </w:r>
          </w:p>
        </w:tc>
      </w:tr>
      <w:tr w:rsidR="00A93FC6" w14:paraId="587C1955" w14:textId="77777777" w:rsidTr="00E4225B">
        <w:trPr>
          <w:trHeight w:val="3180"/>
        </w:trPr>
        <w:tc>
          <w:tcPr>
            <w:tcW w:w="24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48B62EE" w14:textId="77777777" w:rsidR="00A93FC6" w:rsidRDefault="00000000">
            <w:pPr>
              <w:ind w:left="-180"/>
              <w:jc w:val="center"/>
              <w:rPr>
                <w:b/>
                <w:bCs/>
              </w:rPr>
            </w:pPr>
            <w:r>
              <w:rPr>
                <w:b/>
                <w:bCs/>
              </w:rPr>
              <w:lastRenderedPageBreak/>
              <w:t>GPU Accelerator Mix</w:t>
            </w:r>
          </w:p>
        </w:tc>
        <w:tc>
          <w:tcPr>
            <w:tcW w:w="9150" w:type="dxa"/>
            <w:tcBorders>
              <w:bottom w:val="single" w:sz="8" w:space="0" w:color="000000"/>
              <w:right w:val="single" w:sz="8" w:space="0" w:color="000000"/>
            </w:tcBorders>
            <w:tcMar>
              <w:top w:w="0" w:type="dxa"/>
              <w:left w:w="100" w:type="dxa"/>
              <w:bottom w:w="0" w:type="dxa"/>
              <w:right w:w="100" w:type="dxa"/>
            </w:tcMar>
          </w:tcPr>
          <w:p w14:paraId="325F2F16" w14:textId="77777777" w:rsidR="00A93FC6" w:rsidRDefault="00000000">
            <w:pPr>
              <w:ind w:left="-180"/>
              <w:jc w:val="center"/>
            </w:pPr>
            <w:r>
              <w:t xml:space="preserve">600 NVIDIA L4 GPUs (24 GB VRAM) and 32 NVIDIA L40 GPUs (48 GB VRAM)  </w:t>
            </w:r>
          </w:p>
          <w:p w14:paraId="089E24AE" w14:textId="77777777" w:rsidR="00A93FC6" w:rsidRDefault="00000000">
            <w:pPr>
              <w:spacing w:before="240"/>
              <w:ind w:left="-180"/>
              <w:jc w:val="center"/>
            </w:pPr>
            <w:r>
              <w:t>Digital Twin Hub: 360 RTX6000 Blackwell GPUs (96 GB RAM)</w:t>
            </w:r>
          </w:p>
          <w:p w14:paraId="35F1D7D7" w14:textId="77777777" w:rsidR="00A93FC6" w:rsidRDefault="00000000">
            <w:pPr>
              <w:spacing w:before="240"/>
              <w:ind w:left="-180"/>
              <w:jc w:val="center"/>
            </w:pPr>
            <w:r>
              <w:t>NVIDIA SuperPOD: 504 Blackwell B200 GPUs (180 GB VRAM) in 63 NVIDIA DGX B200 nodes, each with 8 GPUs and 10 InfiniBand adapters for multi-GPU computation</w:t>
            </w:r>
          </w:p>
          <w:p w14:paraId="19F22887" w14:textId="77777777" w:rsidR="00A93FC6" w:rsidRDefault="00000000">
            <w:pPr>
              <w:spacing w:before="240"/>
              <w:ind w:left="-180"/>
              <w:jc w:val="center"/>
            </w:pPr>
            <w:r>
              <w:t>NaviGator AI Inference: 40 RTX6000 Blackwell and 16 NVIDIA Blackwell B300</w:t>
            </w:r>
          </w:p>
          <w:p w14:paraId="7A097937" w14:textId="77777777" w:rsidR="00A93FC6" w:rsidRDefault="00000000">
            <w:pPr>
              <w:spacing w:before="240"/>
              <w:ind w:left="-180"/>
              <w:jc w:val="center"/>
            </w:pPr>
            <w:r>
              <w:t>Ecosystem of 1,552 GPUs</w:t>
            </w:r>
          </w:p>
        </w:tc>
      </w:tr>
      <w:tr w:rsidR="00A93FC6" w14:paraId="65113240" w14:textId="77777777" w:rsidTr="00E4225B">
        <w:trPr>
          <w:trHeight w:val="1950"/>
        </w:trPr>
        <w:tc>
          <w:tcPr>
            <w:tcW w:w="24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BE4B084" w14:textId="77777777" w:rsidR="00A93FC6" w:rsidRDefault="00000000">
            <w:pPr>
              <w:ind w:left="-180"/>
              <w:jc w:val="center"/>
              <w:rPr>
                <w:b/>
                <w:bCs/>
              </w:rPr>
            </w:pPr>
            <w:r>
              <w:rPr>
                <w:b/>
                <w:bCs/>
              </w:rPr>
              <w:t>Storage Architecture</w:t>
            </w:r>
          </w:p>
        </w:tc>
        <w:tc>
          <w:tcPr>
            <w:tcW w:w="9150" w:type="dxa"/>
            <w:tcBorders>
              <w:bottom w:val="single" w:sz="8" w:space="0" w:color="000000"/>
              <w:right w:val="single" w:sz="8" w:space="0" w:color="000000"/>
            </w:tcBorders>
            <w:tcMar>
              <w:top w:w="0" w:type="dxa"/>
              <w:left w:w="100" w:type="dxa"/>
              <w:bottom w:w="0" w:type="dxa"/>
              <w:right w:w="100" w:type="dxa"/>
            </w:tcMar>
          </w:tcPr>
          <w:p w14:paraId="7F547B3C" w14:textId="77777777" w:rsidR="00A93FC6" w:rsidRDefault="00000000">
            <w:pPr>
              <w:ind w:left="-180"/>
              <w:jc w:val="center"/>
            </w:pPr>
            <w:r>
              <w:t>Lustre file systems with two tiers (orange, blue)</w:t>
            </w:r>
          </w:p>
          <w:p w14:paraId="6708B158" w14:textId="77777777" w:rsidR="00A93FC6" w:rsidRDefault="00000000">
            <w:pPr>
              <w:spacing w:before="240"/>
              <w:ind w:left="-180"/>
              <w:jc w:val="center"/>
            </w:pPr>
            <w:r>
              <w:t>·</w:t>
            </w:r>
            <w:r>
              <w:rPr>
                <w:rFonts w:ascii="Times New Roman" w:eastAsia="Times New Roman" w:hAnsi="Times New Roman" w:cs="Times New Roman"/>
                <w:sz w:val="14"/>
                <w:szCs w:val="14"/>
              </w:rPr>
              <w:t xml:space="preserve">         </w:t>
            </w:r>
            <w:r>
              <w:t>Orange: 36 PB (primarily capacity)</w:t>
            </w:r>
          </w:p>
          <w:p w14:paraId="5388633F" w14:textId="77777777" w:rsidR="00A93FC6" w:rsidRDefault="00000000">
            <w:pPr>
              <w:spacing w:before="240"/>
              <w:ind w:left="-180"/>
              <w:jc w:val="center"/>
            </w:pPr>
            <w:r>
              <w:t>·</w:t>
            </w:r>
            <w:r>
              <w:rPr>
                <w:rFonts w:ascii="Times New Roman" w:eastAsia="Times New Roman" w:hAnsi="Times New Roman" w:cs="Times New Roman"/>
                <w:sz w:val="14"/>
                <w:szCs w:val="14"/>
              </w:rPr>
              <w:t xml:space="preserve">         </w:t>
            </w:r>
            <w:r>
              <w:t>Blue: 11 PB all</w:t>
            </w:r>
            <w:r>
              <w:rPr>
                <w:rFonts w:ascii="Times New Roman" w:eastAsia="Times New Roman" w:hAnsi="Times New Roman" w:cs="Times New Roman"/>
              </w:rPr>
              <w:t>‑</w:t>
            </w:r>
            <w:r>
              <w:t>flash DDN array (active scientific data)</w:t>
            </w:r>
          </w:p>
          <w:p w14:paraId="32543F67" w14:textId="77777777" w:rsidR="00A93FC6" w:rsidRDefault="00000000">
            <w:pPr>
              <w:spacing w:before="240"/>
              <w:ind w:left="-180"/>
              <w:jc w:val="center"/>
            </w:pPr>
            <w:r>
              <w:t>Total distributed storage &gt;70 PB across HiPerGator systems</w:t>
            </w:r>
          </w:p>
        </w:tc>
      </w:tr>
      <w:tr w:rsidR="00A93FC6" w14:paraId="77AB4C19" w14:textId="77777777" w:rsidTr="00E4225B">
        <w:trPr>
          <w:trHeight w:val="1155"/>
        </w:trPr>
        <w:tc>
          <w:tcPr>
            <w:tcW w:w="24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C1A74D" w14:textId="77777777" w:rsidR="00A93FC6" w:rsidRDefault="00000000">
            <w:pPr>
              <w:ind w:left="-180"/>
              <w:jc w:val="center"/>
              <w:rPr>
                <w:b/>
                <w:bCs/>
              </w:rPr>
            </w:pPr>
            <w:r>
              <w:rPr>
                <w:b/>
                <w:bCs/>
              </w:rPr>
              <w:t>Network &amp; Interconnect</w:t>
            </w:r>
          </w:p>
        </w:tc>
        <w:tc>
          <w:tcPr>
            <w:tcW w:w="9150" w:type="dxa"/>
            <w:tcBorders>
              <w:bottom w:val="single" w:sz="8" w:space="0" w:color="000000"/>
              <w:right w:val="single" w:sz="8" w:space="0" w:color="000000"/>
            </w:tcBorders>
            <w:tcMar>
              <w:top w:w="0" w:type="dxa"/>
              <w:left w:w="100" w:type="dxa"/>
              <w:bottom w:w="0" w:type="dxa"/>
              <w:right w:w="100" w:type="dxa"/>
            </w:tcMar>
          </w:tcPr>
          <w:p w14:paraId="233C1DF3" w14:textId="77777777" w:rsidR="00A93FC6" w:rsidRDefault="00000000">
            <w:pPr>
              <w:ind w:left="-180"/>
              <w:jc w:val="center"/>
            </w:pPr>
            <w:r>
              <w:t>Integrated InfiniBand fabric, upgraded to NDR</w:t>
            </w:r>
            <w:r>
              <w:rPr>
                <w:rFonts w:ascii="Times New Roman" w:eastAsia="Times New Roman" w:hAnsi="Times New Roman" w:cs="Times New Roman"/>
              </w:rPr>
              <w:t>‑</w:t>
            </w:r>
            <w:r>
              <w:t>400 in 2025 to sustain high GPU</w:t>
            </w:r>
            <w:r>
              <w:rPr>
                <w:rFonts w:ascii="Times New Roman" w:eastAsia="Times New Roman" w:hAnsi="Times New Roman" w:cs="Times New Roman"/>
              </w:rPr>
              <w:t>‑</w:t>
            </w:r>
            <w:r>
              <w:t>to</w:t>
            </w:r>
            <w:r>
              <w:rPr>
                <w:rFonts w:ascii="Times New Roman" w:eastAsia="Times New Roman" w:hAnsi="Times New Roman" w:cs="Times New Roman"/>
              </w:rPr>
              <w:t>‑</w:t>
            </w:r>
            <w:r>
              <w:t>storage bandwidth</w:t>
            </w:r>
          </w:p>
          <w:p w14:paraId="5455B91C" w14:textId="77777777" w:rsidR="00A93FC6" w:rsidRDefault="00000000">
            <w:pPr>
              <w:spacing w:before="240"/>
              <w:ind w:left="-180"/>
              <w:jc w:val="center"/>
            </w:pPr>
            <w:r>
              <w:t>Connection to Florida Lambda Rail: dual 400Gbps links.</w:t>
            </w:r>
          </w:p>
        </w:tc>
      </w:tr>
      <w:tr w:rsidR="00A93FC6" w14:paraId="55B5F90A" w14:textId="77777777" w:rsidTr="00E4225B">
        <w:trPr>
          <w:trHeight w:val="1740"/>
        </w:trPr>
        <w:tc>
          <w:tcPr>
            <w:tcW w:w="24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1934EA0" w14:textId="77777777" w:rsidR="00A93FC6" w:rsidRDefault="00000000">
            <w:pPr>
              <w:ind w:left="-180"/>
              <w:jc w:val="center"/>
              <w:rPr>
                <w:b/>
                <w:bCs/>
              </w:rPr>
            </w:pPr>
            <w:r>
              <w:rPr>
                <w:b/>
                <w:bCs/>
              </w:rPr>
              <w:t>Performance Benchmarks</w:t>
            </w:r>
          </w:p>
        </w:tc>
        <w:tc>
          <w:tcPr>
            <w:tcW w:w="9150" w:type="dxa"/>
            <w:tcBorders>
              <w:bottom w:val="single" w:sz="8" w:space="0" w:color="000000"/>
              <w:right w:val="single" w:sz="8" w:space="0" w:color="000000"/>
            </w:tcBorders>
            <w:tcMar>
              <w:top w:w="0" w:type="dxa"/>
              <w:left w:w="100" w:type="dxa"/>
              <w:bottom w:w="0" w:type="dxa"/>
              <w:right w:w="100" w:type="dxa"/>
            </w:tcMar>
          </w:tcPr>
          <w:p w14:paraId="0B3C0733" w14:textId="77777777" w:rsidR="00A93FC6" w:rsidRDefault="00000000">
            <w:pPr>
              <w:ind w:left="-180"/>
              <w:jc w:val="center"/>
            </w:pPr>
            <w:r>
              <w:t>Dedicated HPG 4</w:t>
            </w:r>
            <w:r>
              <w:rPr>
                <w:vertAlign w:val="superscript"/>
              </w:rPr>
              <w:t>th</w:t>
            </w:r>
            <w:r>
              <w:t xml:space="preserve"> Gen. AI HPL: 605 PFLOPs of mixed precision and 17.49 PFLOPs of double precision.</w:t>
            </w:r>
          </w:p>
          <w:p w14:paraId="18ECF66A" w14:textId="77777777" w:rsidR="00A93FC6" w:rsidRDefault="00000000">
            <w:pPr>
              <w:spacing w:before="240"/>
              <w:ind w:left="-180"/>
              <w:jc w:val="center"/>
            </w:pPr>
            <w:r>
              <w:t>Ranked among the top supercomputers in the world based on several benchmarks, like top500 HPL and HPCG, IO500, and the MLPerf AI industry benchmark organized by MLCommons.</w:t>
            </w:r>
          </w:p>
        </w:tc>
      </w:tr>
      <w:tr w:rsidR="00A93FC6" w14:paraId="51AF44A3" w14:textId="77777777" w:rsidTr="00E4225B">
        <w:trPr>
          <w:trHeight w:val="3105"/>
        </w:trPr>
        <w:tc>
          <w:tcPr>
            <w:tcW w:w="24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1FE37D" w14:textId="77777777" w:rsidR="00A93FC6" w:rsidRDefault="00000000">
            <w:pPr>
              <w:ind w:left="-180"/>
              <w:jc w:val="center"/>
              <w:rPr>
                <w:b/>
                <w:bCs/>
              </w:rPr>
            </w:pPr>
            <w:r>
              <w:rPr>
                <w:b/>
                <w:bCs/>
              </w:rPr>
              <w:t>Additional Features</w:t>
            </w:r>
          </w:p>
        </w:tc>
        <w:tc>
          <w:tcPr>
            <w:tcW w:w="9150" w:type="dxa"/>
            <w:tcBorders>
              <w:bottom w:val="single" w:sz="8" w:space="0" w:color="000000"/>
              <w:right w:val="single" w:sz="8" w:space="0" w:color="000000"/>
            </w:tcBorders>
            <w:tcMar>
              <w:top w:w="0" w:type="dxa"/>
              <w:left w:w="100" w:type="dxa"/>
              <w:bottom w:w="0" w:type="dxa"/>
              <w:right w:w="100" w:type="dxa"/>
            </w:tcMar>
          </w:tcPr>
          <w:p w14:paraId="7F671550" w14:textId="77777777" w:rsidR="00A93FC6" w:rsidRDefault="00000000">
            <w:pPr>
              <w:ind w:left="-180"/>
              <w:jc w:val="center"/>
            </w:pPr>
            <w:r>
              <w:t>Supports over 4,000 applications, including NVIDIA cuQuantum and CUDA-Q simulation software for quantum information science</w:t>
            </w:r>
          </w:p>
          <w:p w14:paraId="30A99546" w14:textId="77777777" w:rsidR="00A93FC6" w:rsidRDefault="00000000">
            <w:pPr>
              <w:spacing w:before="240"/>
              <w:ind w:left="-180"/>
              <w:jc w:val="center"/>
            </w:pPr>
            <w:r>
              <w:t>NVIDIA Omniverse for digital-twins</w:t>
            </w:r>
          </w:p>
          <w:p w14:paraId="74D077F7" w14:textId="77777777" w:rsidR="00A93FC6" w:rsidRDefault="00000000">
            <w:pPr>
              <w:spacing w:before="240"/>
              <w:ind w:left="-180"/>
              <w:jc w:val="center"/>
            </w:pPr>
            <w:r>
              <w:t>Supports work on restricted</w:t>
            </w:r>
            <w:r>
              <w:rPr>
                <w:rFonts w:ascii="Times New Roman" w:eastAsia="Times New Roman" w:hAnsi="Times New Roman" w:cs="Times New Roman"/>
              </w:rPr>
              <w:t>‑</w:t>
            </w:r>
            <w:r>
              <w:t>data (HIPAA, FERPA, etc.) via HITRUST</w:t>
            </w:r>
            <w:r>
              <w:rPr>
                <w:rFonts w:ascii="Times New Roman" w:eastAsia="Times New Roman" w:hAnsi="Times New Roman" w:cs="Times New Roman"/>
              </w:rPr>
              <w:t>‑</w:t>
            </w:r>
            <w:r>
              <w:t>certification and NIST 800</w:t>
            </w:r>
            <w:r>
              <w:rPr>
                <w:rFonts w:ascii="Times New Roman" w:eastAsia="Times New Roman" w:hAnsi="Times New Roman" w:cs="Times New Roman"/>
              </w:rPr>
              <w:t>‑</w:t>
            </w:r>
            <w:r>
              <w:t>171 compliance, and HiPerGator-RV supports ITAR, EAR, CUI with CMMC Level 2 compliance</w:t>
            </w:r>
          </w:p>
          <w:p w14:paraId="7C974141" w14:textId="77777777" w:rsidR="00A93FC6" w:rsidRDefault="00000000">
            <w:pPr>
              <w:spacing w:before="240"/>
              <w:ind w:left="-180"/>
              <w:jc w:val="center"/>
            </w:pPr>
            <w:r>
              <w:t>Offers on</w:t>
            </w:r>
            <w:r>
              <w:rPr>
                <w:rFonts w:ascii="Times New Roman" w:eastAsia="Times New Roman" w:hAnsi="Times New Roman" w:cs="Times New Roman"/>
              </w:rPr>
              <w:t>‑</w:t>
            </w:r>
            <w:r>
              <w:t>site proposal support and training workshops for users across Florida institutions</w:t>
            </w:r>
          </w:p>
        </w:tc>
      </w:tr>
      <w:tr w:rsidR="00A93FC6" w14:paraId="11FAD54F" w14:textId="77777777" w:rsidTr="00E4225B">
        <w:trPr>
          <w:trHeight w:val="1845"/>
        </w:trPr>
        <w:tc>
          <w:tcPr>
            <w:tcW w:w="244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E8FBF4" w14:textId="77777777" w:rsidR="00A93FC6" w:rsidRDefault="00000000">
            <w:pPr>
              <w:ind w:left="-180"/>
              <w:jc w:val="center"/>
              <w:rPr>
                <w:b/>
                <w:bCs/>
              </w:rPr>
            </w:pPr>
            <w:r>
              <w:rPr>
                <w:b/>
                <w:bCs/>
              </w:rPr>
              <w:t>2026 Capability Baseline</w:t>
            </w:r>
          </w:p>
        </w:tc>
        <w:tc>
          <w:tcPr>
            <w:tcW w:w="9150" w:type="dxa"/>
            <w:tcBorders>
              <w:bottom w:val="single" w:sz="8" w:space="0" w:color="000000"/>
              <w:right w:val="single" w:sz="8" w:space="0" w:color="000000"/>
            </w:tcBorders>
            <w:tcMar>
              <w:top w:w="0" w:type="dxa"/>
              <w:left w:w="100" w:type="dxa"/>
              <w:bottom w:w="0" w:type="dxa"/>
              <w:right w:w="100" w:type="dxa"/>
            </w:tcMar>
          </w:tcPr>
          <w:p w14:paraId="44169835" w14:textId="77777777" w:rsidR="00A93FC6" w:rsidRDefault="00000000">
            <w:pPr>
              <w:spacing w:before="240"/>
              <w:ind w:left="-180"/>
            </w:pPr>
            <w:r>
              <w:t xml:space="preserve">   2026 – Add 400 RTX6000 Blackwell, 16 B300 GPUs, replace “orange” with 36 PB</w:t>
            </w:r>
          </w:p>
          <w:p w14:paraId="31D9F78E" w14:textId="77777777" w:rsidR="00A93FC6" w:rsidRDefault="00000000">
            <w:pPr>
              <w:spacing w:before="240"/>
              <w:ind w:left="-180"/>
              <w:jc w:val="center"/>
            </w:pPr>
            <w:r>
              <w:t xml:space="preserve">2013 – Launch with 16,000 AMD cores, 1 PB storage • 2016 – Add 30,000 Intel cores, total 51,000 cores, 3 PB storage • 2018 – “Orange” 3 PB capacity tier added • 2019 – 560 RTX 2080‑ti + 48 RTX 6000 GPUs • 2020 – 2 PB Lustre upgraded to 4 PB “blue” system • 2021 – Expand to 40,000 AMD EPYC cores, deploy the 140‑node NVIDIA DGX A100 GPU SuperPOD (w/ 2.5 PB flash storage) · 2025 – Retire older CPUs/GPU, install </w:t>
            </w:r>
            <w:r>
              <w:lastRenderedPageBreak/>
              <w:t>19,000 AMD EPYC 9655P cores, 600 L4 GPUs, 63 DGX‑B200 nodes, and replace “blue” with 11 PB all‑flash DDN</w:t>
            </w:r>
          </w:p>
        </w:tc>
      </w:tr>
    </w:tbl>
    <w:p w14:paraId="5ED5FF8E" w14:textId="77777777" w:rsidR="00A93FC6" w:rsidRDefault="00A93FC6">
      <w:pPr>
        <w:spacing w:before="240" w:after="240"/>
      </w:pPr>
    </w:p>
    <w:p w14:paraId="52B9CBD8" w14:textId="77777777" w:rsidR="00A93FC6" w:rsidRDefault="00000000">
      <w:pPr>
        <w:spacing w:before="240" w:after="240"/>
      </w:pPr>
      <w:r>
        <w:t>For an idea of the staffing required to support a machine like HiPerGator and the related support infrastructure, see the org chart below.</w:t>
      </w:r>
    </w:p>
    <w:p w14:paraId="3CCDEE77" w14:textId="77777777" w:rsidR="00A93FC6" w:rsidRDefault="00A93FC6">
      <w:pPr>
        <w:spacing w:before="240" w:after="240"/>
      </w:pPr>
    </w:p>
    <w:p w14:paraId="434232A2" w14:textId="77777777" w:rsidR="00A93FC6" w:rsidRDefault="00A93FC6">
      <w:pPr>
        <w:spacing w:before="240" w:after="240"/>
        <w:jc w:val="center"/>
        <w:rPr>
          <w:b/>
          <w:bCs/>
          <w:sz w:val="26"/>
          <w:szCs w:val="26"/>
        </w:rPr>
      </w:pPr>
    </w:p>
    <w:p w14:paraId="5D9D3DCD" w14:textId="77777777" w:rsidR="00A93FC6" w:rsidRDefault="00A93FC6">
      <w:pPr>
        <w:spacing w:before="240" w:after="240"/>
        <w:jc w:val="center"/>
        <w:rPr>
          <w:b/>
          <w:bCs/>
          <w:sz w:val="26"/>
          <w:szCs w:val="26"/>
        </w:rPr>
      </w:pPr>
    </w:p>
    <w:p w14:paraId="7458D037" w14:textId="77777777" w:rsidR="00A93FC6" w:rsidRDefault="00A93FC6">
      <w:pPr>
        <w:spacing w:before="240" w:after="240"/>
        <w:jc w:val="center"/>
        <w:rPr>
          <w:b/>
          <w:bCs/>
          <w:sz w:val="26"/>
          <w:szCs w:val="26"/>
        </w:rPr>
      </w:pPr>
    </w:p>
    <w:p w14:paraId="0E38B9A8" w14:textId="77777777" w:rsidR="00A93FC6" w:rsidRDefault="00A93FC6">
      <w:pPr>
        <w:spacing w:before="240" w:after="240"/>
        <w:jc w:val="center"/>
        <w:rPr>
          <w:b/>
          <w:bCs/>
          <w:sz w:val="26"/>
          <w:szCs w:val="26"/>
        </w:rPr>
      </w:pPr>
    </w:p>
    <w:p w14:paraId="31371642" w14:textId="77777777" w:rsidR="00A93FC6" w:rsidRDefault="00A93FC6">
      <w:pPr>
        <w:spacing w:before="240" w:after="240"/>
        <w:jc w:val="center"/>
        <w:rPr>
          <w:b/>
          <w:bCs/>
          <w:sz w:val="26"/>
          <w:szCs w:val="26"/>
        </w:rPr>
      </w:pPr>
    </w:p>
    <w:p w14:paraId="295DAC9B" w14:textId="77777777" w:rsidR="00A93FC6" w:rsidRDefault="00A93FC6">
      <w:pPr>
        <w:spacing w:before="240" w:after="240"/>
        <w:jc w:val="center"/>
        <w:rPr>
          <w:b/>
          <w:bCs/>
          <w:sz w:val="26"/>
          <w:szCs w:val="26"/>
        </w:rPr>
      </w:pPr>
    </w:p>
    <w:p w14:paraId="09B38CDB" w14:textId="77777777" w:rsidR="00A93FC6" w:rsidRDefault="00A93FC6">
      <w:pPr>
        <w:spacing w:before="240" w:after="240"/>
        <w:jc w:val="center"/>
        <w:rPr>
          <w:b/>
          <w:bCs/>
          <w:sz w:val="26"/>
          <w:szCs w:val="26"/>
        </w:rPr>
      </w:pPr>
    </w:p>
    <w:p w14:paraId="482F592B" w14:textId="77777777" w:rsidR="00A93FC6" w:rsidRDefault="00000000">
      <w:pPr>
        <w:spacing w:before="240" w:after="240"/>
        <w:jc w:val="center"/>
        <w:rPr>
          <w:b/>
          <w:bCs/>
          <w:sz w:val="26"/>
          <w:szCs w:val="26"/>
        </w:rPr>
      </w:pPr>
      <w:r>
        <w:rPr>
          <w:b/>
          <w:bCs/>
          <w:sz w:val="26"/>
          <w:szCs w:val="26"/>
        </w:rPr>
        <w:t>HiPerGator Support Staff Org Chart</w:t>
      </w:r>
    </w:p>
    <w:p w14:paraId="5B7C9585" w14:textId="77777777" w:rsidR="00A93FC6" w:rsidRDefault="00000000">
      <w:pPr>
        <w:spacing w:before="240" w:after="240"/>
        <w:rPr>
          <w:b/>
          <w:bCs/>
          <w:color w:val="000000"/>
          <w:sz w:val="26"/>
          <w:szCs w:val="26"/>
        </w:rPr>
      </w:pPr>
      <w:r>
        <w:rPr>
          <w:b/>
          <w:bCs/>
          <w:noProof/>
          <w:sz w:val="26"/>
          <w:szCs w:val="26"/>
        </w:rPr>
        <w:lastRenderedPageBreak/>
        <w:drawing>
          <wp:inline distT="114300" distB="114300" distL="114300" distR="114300" wp14:anchorId="6D0390AE" wp14:editId="195C7D5D">
            <wp:extent cx="5943600" cy="4038600"/>
            <wp:effectExtent l="0" t="0" r="0" b="0"/>
            <wp:docPr id="1" name="image1.png" descr="org chart showing HiPerGator Supoort Staff&#10;&#10;"/>
            <wp:cNvGraphicFramePr/>
            <a:graphic xmlns:a="http://schemas.openxmlformats.org/drawingml/2006/main">
              <a:graphicData uri="http://schemas.openxmlformats.org/drawingml/2006/picture">
                <pic:pic xmlns:pic="http://schemas.openxmlformats.org/drawingml/2006/picture">
                  <pic:nvPicPr>
                    <pic:cNvPr id="1" name="image1.png" descr="org chart showing HiPerGator Supoort Staff&#10;&#10;"/>
                    <pic:cNvPicPr preferRelativeResize="0"/>
                  </pic:nvPicPr>
                  <pic:blipFill>
                    <a:blip r:embed="rId7"/>
                    <a:srcRect/>
                    <a:stretch>
                      <a:fillRect/>
                    </a:stretch>
                  </pic:blipFill>
                  <pic:spPr>
                    <a:xfrm>
                      <a:off x="0" y="0"/>
                      <a:ext cx="5943600" cy="4038600"/>
                    </a:xfrm>
                    <a:prstGeom prst="rect">
                      <a:avLst/>
                    </a:prstGeom>
                    <a:ln/>
                  </pic:spPr>
                </pic:pic>
              </a:graphicData>
            </a:graphic>
          </wp:inline>
        </w:drawing>
      </w:r>
    </w:p>
    <w:p w14:paraId="5580F36B" w14:textId="77777777" w:rsidR="00A93FC6" w:rsidRDefault="00A93FC6">
      <w:pPr>
        <w:pStyle w:val="Heading3"/>
        <w:keepNext w:val="0"/>
        <w:keepLines w:val="0"/>
        <w:spacing w:before="280"/>
        <w:rPr>
          <w:b/>
          <w:bCs/>
          <w:color w:val="000000"/>
          <w:sz w:val="26"/>
          <w:szCs w:val="26"/>
        </w:rPr>
      </w:pPr>
      <w:bookmarkStart w:id="5" w:name="_1h0i8q8ei03o" w:colFirst="0" w:colLast="0"/>
      <w:bookmarkEnd w:id="5"/>
    </w:p>
    <w:p w14:paraId="4F07437C" w14:textId="77777777" w:rsidR="00A93FC6" w:rsidRDefault="00000000">
      <w:pPr>
        <w:spacing w:before="240" w:after="240"/>
        <w:rPr>
          <w:b/>
          <w:bCs/>
          <w:sz w:val="26"/>
          <w:szCs w:val="26"/>
          <w:u w:val="single"/>
        </w:rPr>
      </w:pPr>
      <w:r>
        <w:rPr>
          <w:b/>
          <w:bCs/>
          <w:sz w:val="26"/>
          <w:szCs w:val="26"/>
          <w:u w:val="single"/>
        </w:rPr>
        <w:t>Getting Started: Choosing an AI Infrastructure Model</w:t>
      </w:r>
    </w:p>
    <w:tbl>
      <w:tblPr>
        <w:tblStyle w:val="a0"/>
        <w:tblW w:w="8625"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1770"/>
        <w:gridCol w:w="90"/>
        <w:gridCol w:w="90"/>
        <w:gridCol w:w="2100"/>
        <w:gridCol w:w="90"/>
        <w:gridCol w:w="2070"/>
        <w:gridCol w:w="90"/>
        <w:gridCol w:w="2325"/>
      </w:tblGrid>
      <w:tr w:rsidR="00A93FC6" w14:paraId="4E0E8615" w14:textId="77777777" w:rsidTr="00E4225B">
        <w:trPr>
          <w:trHeight w:val="1110"/>
        </w:trPr>
        <w:tc>
          <w:tcPr>
            <w:tcW w:w="1770" w:type="dxa"/>
            <w:tcBorders>
              <w:top w:val="nil"/>
              <w:left w:val="nil"/>
              <w:bottom w:val="nil"/>
              <w:right w:val="nil"/>
            </w:tcBorders>
            <w:tcMar>
              <w:top w:w="20" w:type="dxa"/>
              <w:left w:w="20" w:type="dxa"/>
              <w:bottom w:w="20" w:type="dxa"/>
              <w:right w:w="20" w:type="dxa"/>
            </w:tcMar>
          </w:tcPr>
          <w:p w14:paraId="64B4D04D" w14:textId="77777777" w:rsidR="00A93FC6" w:rsidRDefault="00000000">
            <w:pPr>
              <w:spacing w:before="240" w:after="240"/>
              <w:rPr>
                <w:b/>
                <w:bCs/>
              </w:rPr>
            </w:pPr>
            <w:r>
              <w:rPr>
                <w:b/>
                <w:bCs/>
              </w:rPr>
              <w:t>Factor / Consideration</w:t>
            </w:r>
          </w:p>
        </w:tc>
        <w:tc>
          <w:tcPr>
            <w:tcW w:w="90" w:type="dxa"/>
            <w:tcBorders>
              <w:top w:val="nil"/>
              <w:left w:val="nil"/>
              <w:bottom w:val="nil"/>
              <w:right w:val="nil"/>
            </w:tcBorders>
            <w:tcMar>
              <w:top w:w="20" w:type="dxa"/>
              <w:left w:w="20" w:type="dxa"/>
              <w:bottom w:w="20" w:type="dxa"/>
              <w:right w:w="20" w:type="dxa"/>
            </w:tcMar>
          </w:tcPr>
          <w:p w14:paraId="07A7F52A" w14:textId="77777777" w:rsidR="00A93FC6" w:rsidRDefault="00000000">
            <w:pPr>
              <w:spacing w:before="240" w:after="240"/>
              <w:rPr>
                <w:b/>
                <w:bCs/>
              </w:rPr>
            </w:pPr>
            <w:r>
              <w:rPr>
                <w:b/>
                <w:bCs/>
              </w:rPr>
              <w:t xml:space="preserve"> </w:t>
            </w:r>
          </w:p>
        </w:tc>
        <w:tc>
          <w:tcPr>
            <w:tcW w:w="90" w:type="dxa"/>
            <w:tcBorders>
              <w:top w:val="nil"/>
              <w:left w:val="nil"/>
              <w:bottom w:val="nil"/>
              <w:right w:val="nil"/>
            </w:tcBorders>
            <w:tcMar>
              <w:top w:w="20" w:type="dxa"/>
              <w:left w:w="20" w:type="dxa"/>
              <w:bottom w:w="20" w:type="dxa"/>
              <w:right w:w="20" w:type="dxa"/>
            </w:tcMar>
          </w:tcPr>
          <w:p w14:paraId="517501E8" w14:textId="77777777" w:rsidR="00A93FC6" w:rsidRDefault="00000000">
            <w:pPr>
              <w:spacing w:before="240" w:after="240"/>
              <w:rPr>
                <w:b/>
                <w:bCs/>
              </w:rPr>
            </w:pPr>
            <w:r>
              <w:rPr>
                <w:b/>
                <w:bCs/>
              </w:rPr>
              <w:t xml:space="preserve"> </w:t>
            </w:r>
          </w:p>
        </w:tc>
        <w:tc>
          <w:tcPr>
            <w:tcW w:w="2100" w:type="dxa"/>
            <w:tcBorders>
              <w:top w:val="nil"/>
              <w:left w:val="nil"/>
              <w:bottom w:val="nil"/>
              <w:right w:val="nil"/>
            </w:tcBorders>
            <w:tcMar>
              <w:top w:w="20" w:type="dxa"/>
              <w:left w:w="20" w:type="dxa"/>
              <w:bottom w:w="20" w:type="dxa"/>
              <w:right w:w="20" w:type="dxa"/>
            </w:tcMar>
          </w:tcPr>
          <w:p w14:paraId="10D6FD39" w14:textId="77777777" w:rsidR="00A93FC6" w:rsidRDefault="00000000">
            <w:pPr>
              <w:spacing w:before="240" w:after="240"/>
              <w:rPr>
                <w:b/>
                <w:bCs/>
              </w:rPr>
            </w:pPr>
            <w:r>
              <w:rPr>
                <w:b/>
                <w:bCs/>
              </w:rPr>
              <w:t>Cloud-Based Solution</w:t>
            </w:r>
          </w:p>
        </w:tc>
        <w:tc>
          <w:tcPr>
            <w:tcW w:w="90" w:type="dxa"/>
            <w:tcBorders>
              <w:top w:val="nil"/>
              <w:left w:val="nil"/>
              <w:bottom w:val="nil"/>
              <w:right w:val="nil"/>
            </w:tcBorders>
            <w:tcMar>
              <w:top w:w="20" w:type="dxa"/>
              <w:left w:w="20" w:type="dxa"/>
              <w:bottom w:w="20" w:type="dxa"/>
              <w:right w:w="20" w:type="dxa"/>
            </w:tcMar>
          </w:tcPr>
          <w:p w14:paraId="22BD2251" w14:textId="77777777" w:rsidR="00A93FC6" w:rsidRDefault="00000000">
            <w:pPr>
              <w:spacing w:before="240" w:after="240"/>
              <w:rPr>
                <w:b/>
                <w:bCs/>
              </w:rPr>
            </w:pPr>
            <w:r>
              <w:rPr>
                <w:b/>
                <w:bCs/>
              </w:rPr>
              <w:t xml:space="preserve"> </w:t>
            </w:r>
          </w:p>
        </w:tc>
        <w:tc>
          <w:tcPr>
            <w:tcW w:w="2070" w:type="dxa"/>
            <w:tcBorders>
              <w:top w:val="nil"/>
              <w:left w:val="nil"/>
              <w:bottom w:val="nil"/>
              <w:right w:val="nil"/>
            </w:tcBorders>
            <w:tcMar>
              <w:top w:w="20" w:type="dxa"/>
              <w:left w:w="20" w:type="dxa"/>
              <w:bottom w:w="20" w:type="dxa"/>
              <w:right w:w="20" w:type="dxa"/>
            </w:tcMar>
          </w:tcPr>
          <w:p w14:paraId="4CDA3027" w14:textId="77777777" w:rsidR="00A93FC6" w:rsidRDefault="00000000">
            <w:pPr>
              <w:spacing w:before="240" w:after="240"/>
              <w:rPr>
                <w:b/>
                <w:bCs/>
              </w:rPr>
            </w:pPr>
            <w:r>
              <w:rPr>
                <w:b/>
                <w:bCs/>
              </w:rPr>
              <w:t>Shared / Consortium System (e.g., UF HiPerGator)</w:t>
            </w:r>
          </w:p>
        </w:tc>
        <w:tc>
          <w:tcPr>
            <w:tcW w:w="90" w:type="dxa"/>
            <w:tcBorders>
              <w:top w:val="nil"/>
              <w:left w:val="nil"/>
              <w:bottom w:val="nil"/>
              <w:right w:val="nil"/>
            </w:tcBorders>
            <w:tcMar>
              <w:top w:w="20" w:type="dxa"/>
              <w:left w:w="20" w:type="dxa"/>
              <w:bottom w:w="20" w:type="dxa"/>
              <w:right w:w="20" w:type="dxa"/>
            </w:tcMar>
          </w:tcPr>
          <w:p w14:paraId="697620E2" w14:textId="77777777" w:rsidR="00A93FC6" w:rsidRDefault="00000000">
            <w:pPr>
              <w:spacing w:before="240" w:after="240"/>
              <w:rPr>
                <w:b/>
                <w:bCs/>
              </w:rPr>
            </w:pPr>
            <w:r>
              <w:rPr>
                <w:b/>
                <w:bCs/>
              </w:rPr>
              <w:t xml:space="preserve"> </w:t>
            </w:r>
          </w:p>
        </w:tc>
        <w:tc>
          <w:tcPr>
            <w:tcW w:w="2325" w:type="dxa"/>
            <w:tcBorders>
              <w:top w:val="nil"/>
              <w:left w:val="nil"/>
              <w:bottom w:val="nil"/>
              <w:right w:val="nil"/>
            </w:tcBorders>
            <w:tcMar>
              <w:top w:w="20" w:type="dxa"/>
              <w:left w:w="20" w:type="dxa"/>
              <w:bottom w:w="20" w:type="dxa"/>
              <w:right w:w="20" w:type="dxa"/>
            </w:tcMar>
          </w:tcPr>
          <w:p w14:paraId="73D85A56" w14:textId="77777777" w:rsidR="00A93FC6" w:rsidRDefault="00000000">
            <w:pPr>
              <w:spacing w:before="240" w:after="240"/>
              <w:rPr>
                <w:b/>
                <w:bCs/>
              </w:rPr>
            </w:pPr>
            <w:r>
              <w:rPr>
                <w:b/>
                <w:bCs/>
              </w:rPr>
              <w:t>On-Campus High-Performance System</w:t>
            </w:r>
          </w:p>
        </w:tc>
      </w:tr>
      <w:tr w:rsidR="00A93FC6" w14:paraId="2DA2DF42" w14:textId="77777777" w:rsidTr="00E4225B">
        <w:trPr>
          <w:trHeight w:val="1110"/>
        </w:trPr>
        <w:tc>
          <w:tcPr>
            <w:tcW w:w="1770" w:type="dxa"/>
            <w:tcBorders>
              <w:top w:val="nil"/>
              <w:left w:val="nil"/>
              <w:bottom w:val="nil"/>
              <w:right w:val="nil"/>
            </w:tcBorders>
            <w:tcMar>
              <w:top w:w="20" w:type="dxa"/>
              <w:left w:w="20" w:type="dxa"/>
              <w:bottom w:w="20" w:type="dxa"/>
              <w:right w:w="20" w:type="dxa"/>
            </w:tcMar>
          </w:tcPr>
          <w:p w14:paraId="1E3AC2C0" w14:textId="77777777" w:rsidR="00A93FC6" w:rsidRDefault="00000000">
            <w:pPr>
              <w:spacing w:before="240" w:after="240"/>
              <w:rPr>
                <w:b/>
                <w:bCs/>
              </w:rPr>
            </w:pPr>
            <w:r>
              <w:rPr>
                <w:b/>
                <w:bCs/>
              </w:rPr>
              <w:t>Capital &amp; Facilities</w:t>
            </w:r>
          </w:p>
        </w:tc>
        <w:tc>
          <w:tcPr>
            <w:tcW w:w="90" w:type="dxa"/>
            <w:tcBorders>
              <w:top w:val="nil"/>
              <w:left w:val="nil"/>
              <w:bottom w:val="nil"/>
              <w:right w:val="nil"/>
            </w:tcBorders>
            <w:tcMar>
              <w:top w:w="20" w:type="dxa"/>
              <w:left w:w="20" w:type="dxa"/>
              <w:bottom w:w="20" w:type="dxa"/>
              <w:right w:w="20" w:type="dxa"/>
            </w:tcMar>
          </w:tcPr>
          <w:p w14:paraId="4F4E0189" w14:textId="77777777" w:rsidR="00A93FC6" w:rsidRDefault="00000000">
            <w:pPr>
              <w:spacing w:before="240" w:after="240"/>
            </w:pPr>
            <w:r>
              <w:t xml:space="preserve"> </w:t>
            </w:r>
          </w:p>
        </w:tc>
        <w:tc>
          <w:tcPr>
            <w:tcW w:w="90" w:type="dxa"/>
            <w:tcBorders>
              <w:top w:val="nil"/>
              <w:left w:val="nil"/>
              <w:bottom w:val="nil"/>
              <w:right w:val="nil"/>
            </w:tcBorders>
            <w:tcMar>
              <w:top w:w="20" w:type="dxa"/>
              <w:left w:w="20" w:type="dxa"/>
              <w:bottom w:w="20" w:type="dxa"/>
              <w:right w:w="20" w:type="dxa"/>
            </w:tcMar>
          </w:tcPr>
          <w:p w14:paraId="7E9DD10A" w14:textId="77777777" w:rsidR="00A93FC6" w:rsidRDefault="00000000">
            <w:pPr>
              <w:spacing w:before="240" w:after="240"/>
            </w:pPr>
            <w:r>
              <w:t xml:space="preserve"> </w:t>
            </w:r>
          </w:p>
        </w:tc>
        <w:tc>
          <w:tcPr>
            <w:tcW w:w="2100" w:type="dxa"/>
            <w:tcBorders>
              <w:top w:val="nil"/>
              <w:left w:val="nil"/>
              <w:bottom w:val="nil"/>
              <w:right w:val="nil"/>
            </w:tcBorders>
            <w:tcMar>
              <w:top w:w="20" w:type="dxa"/>
              <w:left w:w="20" w:type="dxa"/>
              <w:bottom w:w="20" w:type="dxa"/>
              <w:right w:w="20" w:type="dxa"/>
            </w:tcMar>
          </w:tcPr>
          <w:p w14:paraId="07695889" w14:textId="77777777" w:rsidR="00A93FC6" w:rsidRDefault="00000000">
            <w:pPr>
              <w:spacing w:before="240" w:after="240"/>
            </w:pPr>
            <w:r>
              <w:t>Low upfront cost, no data center needed</w:t>
            </w:r>
          </w:p>
        </w:tc>
        <w:tc>
          <w:tcPr>
            <w:tcW w:w="90" w:type="dxa"/>
            <w:tcBorders>
              <w:top w:val="nil"/>
              <w:left w:val="nil"/>
              <w:bottom w:val="nil"/>
              <w:right w:val="nil"/>
            </w:tcBorders>
            <w:tcMar>
              <w:top w:w="20" w:type="dxa"/>
              <w:left w:w="20" w:type="dxa"/>
              <w:bottom w:w="20" w:type="dxa"/>
              <w:right w:w="20" w:type="dxa"/>
            </w:tcMar>
          </w:tcPr>
          <w:p w14:paraId="6F762275" w14:textId="77777777" w:rsidR="00A93FC6" w:rsidRDefault="00000000">
            <w:pPr>
              <w:spacing w:before="240" w:after="240"/>
            </w:pPr>
            <w:r>
              <w:t xml:space="preserve"> </w:t>
            </w:r>
          </w:p>
        </w:tc>
        <w:tc>
          <w:tcPr>
            <w:tcW w:w="2070" w:type="dxa"/>
            <w:tcBorders>
              <w:top w:val="nil"/>
              <w:left w:val="nil"/>
              <w:bottom w:val="nil"/>
              <w:right w:val="nil"/>
            </w:tcBorders>
            <w:tcMar>
              <w:top w:w="20" w:type="dxa"/>
              <w:left w:w="20" w:type="dxa"/>
              <w:bottom w:w="20" w:type="dxa"/>
              <w:right w:w="20" w:type="dxa"/>
            </w:tcMar>
          </w:tcPr>
          <w:p w14:paraId="2214E688" w14:textId="77777777" w:rsidR="00A93FC6" w:rsidRDefault="00000000">
            <w:pPr>
              <w:spacing w:before="240" w:after="240"/>
            </w:pPr>
            <w:r>
              <w:t>No new facilities required, hardware managed externally</w:t>
            </w:r>
          </w:p>
        </w:tc>
        <w:tc>
          <w:tcPr>
            <w:tcW w:w="90" w:type="dxa"/>
            <w:tcBorders>
              <w:top w:val="nil"/>
              <w:left w:val="nil"/>
              <w:bottom w:val="nil"/>
              <w:right w:val="nil"/>
            </w:tcBorders>
            <w:tcMar>
              <w:top w:w="20" w:type="dxa"/>
              <w:left w:w="20" w:type="dxa"/>
              <w:bottom w:w="20" w:type="dxa"/>
              <w:right w:w="20" w:type="dxa"/>
            </w:tcMar>
          </w:tcPr>
          <w:p w14:paraId="16DCA4FC" w14:textId="77777777" w:rsidR="00A93FC6" w:rsidRDefault="00000000">
            <w:pPr>
              <w:spacing w:before="240" w:after="240"/>
            </w:pPr>
            <w:r>
              <w:t xml:space="preserve"> </w:t>
            </w:r>
          </w:p>
        </w:tc>
        <w:tc>
          <w:tcPr>
            <w:tcW w:w="2325" w:type="dxa"/>
            <w:tcBorders>
              <w:top w:val="nil"/>
              <w:left w:val="nil"/>
              <w:bottom w:val="nil"/>
              <w:right w:val="nil"/>
            </w:tcBorders>
            <w:tcMar>
              <w:top w:w="20" w:type="dxa"/>
              <w:left w:w="20" w:type="dxa"/>
              <w:bottom w:w="20" w:type="dxa"/>
              <w:right w:w="20" w:type="dxa"/>
            </w:tcMar>
          </w:tcPr>
          <w:p w14:paraId="29B20627" w14:textId="77777777" w:rsidR="00A93FC6" w:rsidRDefault="00000000">
            <w:pPr>
              <w:spacing w:before="240" w:after="240"/>
            </w:pPr>
            <w:r>
              <w:t>High upfront investment, need data center &amp; power upgrades</w:t>
            </w:r>
          </w:p>
        </w:tc>
      </w:tr>
      <w:tr w:rsidR="00A93FC6" w14:paraId="58A6E8E6" w14:textId="77777777" w:rsidTr="00E4225B">
        <w:trPr>
          <w:trHeight w:val="840"/>
        </w:trPr>
        <w:tc>
          <w:tcPr>
            <w:tcW w:w="1770" w:type="dxa"/>
            <w:tcBorders>
              <w:top w:val="nil"/>
              <w:left w:val="nil"/>
              <w:bottom w:val="nil"/>
              <w:right w:val="nil"/>
            </w:tcBorders>
            <w:tcMar>
              <w:top w:w="20" w:type="dxa"/>
              <w:left w:w="20" w:type="dxa"/>
              <w:bottom w:w="20" w:type="dxa"/>
              <w:right w:w="20" w:type="dxa"/>
            </w:tcMar>
          </w:tcPr>
          <w:p w14:paraId="5C5BBFB1" w14:textId="77777777" w:rsidR="00A93FC6" w:rsidRDefault="00000000">
            <w:pPr>
              <w:spacing w:before="240" w:after="240"/>
              <w:rPr>
                <w:b/>
                <w:bCs/>
              </w:rPr>
            </w:pPr>
            <w:r>
              <w:rPr>
                <w:b/>
                <w:bCs/>
              </w:rPr>
              <w:t>Staffing &amp; Operational Expertise</w:t>
            </w:r>
          </w:p>
        </w:tc>
        <w:tc>
          <w:tcPr>
            <w:tcW w:w="90" w:type="dxa"/>
            <w:tcBorders>
              <w:top w:val="nil"/>
              <w:left w:val="nil"/>
              <w:bottom w:val="nil"/>
              <w:right w:val="nil"/>
            </w:tcBorders>
            <w:tcMar>
              <w:top w:w="20" w:type="dxa"/>
              <w:left w:w="20" w:type="dxa"/>
              <w:bottom w:w="20" w:type="dxa"/>
              <w:right w:w="20" w:type="dxa"/>
            </w:tcMar>
          </w:tcPr>
          <w:p w14:paraId="46D5C58A" w14:textId="77777777" w:rsidR="00A93FC6" w:rsidRDefault="00000000">
            <w:pPr>
              <w:spacing w:before="240" w:after="240"/>
            </w:pPr>
            <w:r>
              <w:t xml:space="preserve"> </w:t>
            </w:r>
          </w:p>
        </w:tc>
        <w:tc>
          <w:tcPr>
            <w:tcW w:w="90" w:type="dxa"/>
            <w:tcBorders>
              <w:top w:val="nil"/>
              <w:left w:val="nil"/>
              <w:bottom w:val="nil"/>
              <w:right w:val="nil"/>
            </w:tcBorders>
            <w:tcMar>
              <w:top w:w="20" w:type="dxa"/>
              <w:left w:w="20" w:type="dxa"/>
              <w:bottom w:w="20" w:type="dxa"/>
              <w:right w:w="20" w:type="dxa"/>
            </w:tcMar>
          </w:tcPr>
          <w:p w14:paraId="1208099D" w14:textId="77777777" w:rsidR="00A93FC6" w:rsidRDefault="00000000">
            <w:pPr>
              <w:spacing w:before="240" w:after="240"/>
            </w:pPr>
            <w:r>
              <w:t xml:space="preserve"> </w:t>
            </w:r>
          </w:p>
        </w:tc>
        <w:tc>
          <w:tcPr>
            <w:tcW w:w="2100" w:type="dxa"/>
            <w:tcBorders>
              <w:top w:val="nil"/>
              <w:left w:val="nil"/>
              <w:bottom w:val="nil"/>
              <w:right w:val="nil"/>
            </w:tcBorders>
            <w:tcMar>
              <w:top w:w="20" w:type="dxa"/>
              <w:left w:w="20" w:type="dxa"/>
              <w:bottom w:w="20" w:type="dxa"/>
              <w:right w:w="20" w:type="dxa"/>
            </w:tcMar>
          </w:tcPr>
          <w:p w14:paraId="596594A4" w14:textId="77777777" w:rsidR="00A93FC6" w:rsidRDefault="00000000">
            <w:pPr>
              <w:spacing w:before="240" w:after="240"/>
            </w:pPr>
            <w:r>
              <w:t>Some savings in  on-site staff required for basic hardware and network tasks</w:t>
            </w:r>
          </w:p>
        </w:tc>
        <w:tc>
          <w:tcPr>
            <w:tcW w:w="90" w:type="dxa"/>
            <w:tcBorders>
              <w:top w:val="nil"/>
              <w:left w:val="nil"/>
              <w:bottom w:val="nil"/>
              <w:right w:val="nil"/>
            </w:tcBorders>
            <w:tcMar>
              <w:top w:w="20" w:type="dxa"/>
              <w:left w:w="20" w:type="dxa"/>
              <w:bottom w:w="20" w:type="dxa"/>
              <w:right w:w="20" w:type="dxa"/>
            </w:tcMar>
          </w:tcPr>
          <w:p w14:paraId="290431CB" w14:textId="77777777" w:rsidR="00A93FC6" w:rsidRDefault="00000000">
            <w:pPr>
              <w:spacing w:before="240" w:after="240"/>
            </w:pPr>
            <w:r>
              <w:t xml:space="preserve"> </w:t>
            </w:r>
          </w:p>
        </w:tc>
        <w:tc>
          <w:tcPr>
            <w:tcW w:w="2070" w:type="dxa"/>
            <w:tcBorders>
              <w:top w:val="nil"/>
              <w:left w:val="nil"/>
              <w:bottom w:val="nil"/>
              <w:right w:val="nil"/>
            </w:tcBorders>
            <w:tcMar>
              <w:top w:w="20" w:type="dxa"/>
              <w:left w:w="20" w:type="dxa"/>
              <w:bottom w:w="20" w:type="dxa"/>
              <w:right w:w="20" w:type="dxa"/>
            </w:tcMar>
          </w:tcPr>
          <w:p w14:paraId="20F706E6" w14:textId="77777777" w:rsidR="00A93FC6" w:rsidRDefault="00000000">
            <w:pPr>
              <w:spacing w:before="240" w:after="240"/>
            </w:pPr>
            <w:r>
              <w:t>Some local support needed for user access &amp; training, compliance</w:t>
            </w:r>
          </w:p>
        </w:tc>
        <w:tc>
          <w:tcPr>
            <w:tcW w:w="90" w:type="dxa"/>
            <w:tcBorders>
              <w:top w:val="nil"/>
              <w:left w:val="nil"/>
              <w:bottom w:val="nil"/>
              <w:right w:val="nil"/>
            </w:tcBorders>
            <w:tcMar>
              <w:top w:w="20" w:type="dxa"/>
              <w:left w:w="20" w:type="dxa"/>
              <w:bottom w:w="20" w:type="dxa"/>
              <w:right w:w="20" w:type="dxa"/>
            </w:tcMar>
          </w:tcPr>
          <w:p w14:paraId="3FD06A57" w14:textId="77777777" w:rsidR="00A93FC6" w:rsidRDefault="00000000">
            <w:pPr>
              <w:spacing w:before="240" w:after="240"/>
            </w:pPr>
            <w:r>
              <w:t xml:space="preserve"> </w:t>
            </w:r>
          </w:p>
        </w:tc>
        <w:tc>
          <w:tcPr>
            <w:tcW w:w="2325" w:type="dxa"/>
            <w:tcBorders>
              <w:top w:val="nil"/>
              <w:left w:val="nil"/>
              <w:bottom w:val="nil"/>
              <w:right w:val="nil"/>
            </w:tcBorders>
            <w:tcMar>
              <w:top w:w="20" w:type="dxa"/>
              <w:left w:w="20" w:type="dxa"/>
              <w:bottom w:w="20" w:type="dxa"/>
              <w:right w:w="20" w:type="dxa"/>
            </w:tcMar>
          </w:tcPr>
          <w:p w14:paraId="398C5BB4" w14:textId="77777777" w:rsidR="00A93FC6" w:rsidRDefault="00000000">
            <w:pPr>
              <w:spacing w:before="240" w:after="240"/>
            </w:pPr>
            <w:r>
              <w:t>Full staff needed: system admin, user support, compliance</w:t>
            </w:r>
          </w:p>
        </w:tc>
      </w:tr>
      <w:tr w:rsidR="00A93FC6" w14:paraId="55872CB4" w14:textId="77777777" w:rsidTr="00E4225B">
        <w:trPr>
          <w:trHeight w:val="1110"/>
        </w:trPr>
        <w:tc>
          <w:tcPr>
            <w:tcW w:w="1770" w:type="dxa"/>
            <w:tcBorders>
              <w:top w:val="nil"/>
              <w:left w:val="nil"/>
              <w:bottom w:val="nil"/>
              <w:right w:val="nil"/>
            </w:tcBorders>
            <w:tcMar>
              <w:top w:w="20" w:type="dxa"/>
              <w:left w:w="20" w:type="dxa"/>
              <w:bottom w:w="20" w:type="dxa"/>
              <w:right w:w="20" w:type="dxa"/>
            </w:tcMar>
          </w:tcPr>
          <w:p w14:paraId="16419799" w14:textId="77777777" w:rsidR="00A93FC6" w:rsidRDefault="00000000">
            <w:pPr>
              <w:spacing w:before="240" w:after="240"/>
              <w:rPr>
                <w:b/>
                <w:bCs/>
              </w:rPr>
            </w:pPr>
            <w:r>
              <w:rPr>
                <w:b/>
                <w:bCs/>
              </w:rPr>
              <w:lastRenderedPageBreak/>
              <w:t>Scalability / Performance</w:t>
            </w:r>
          </w:p>
        </w:tc>
        <w:tc>
          <w:tcPr>
            <w:tcW w:w="90" w:type="dxa"/>
            <w:tcBorders>
              <w:top w:val="nil"/>
              <w:left w:val="nil"/>
              <w:bottom w:val="nil"/>
              <w:right w:val="nil"/>
            </w:tcBorders>
            <w:tcMar>
              <w:top w:w="20" w:type="dxa"/>
              <w:left w:w="20" w:type="dxa"/>
              <w:bottom w:w="20" w:type="dxa"/>
              <w:right w:w="20" w:type="dxa"/>
            </w:tcMar>
          </w:tcPr>
          <w:p w14:paraId="6D618C77" w14:textId="77777777" w:rsidR="00A93FC6" w:rsidRDefault="00000000">
            <w:pPr>
              <w:spacing w:before="240" w:after="240"/>
            </w:pPr>
            <w:r>
              <w:t xml:space="preserve"> </w:t>
            </w:r>
          </w:p>
        </w:tc>
        <w:tc>
          <w:tcPr>
            <w:tcW w:w="90" w:type="dxa"/>
            <w:tcBorders>
              <w:top w:val="nil"/>
              <w:left w:val="nil"/>
              <w:bottom w:val="nil"/>
              <w:right w:val="nil"/>
            </w:tcBorders>
            <w:tcMar>
              <w:top w:w="20" w:type="dxa"/>
              <w:left w:w="20" w:type="dxa"/>
              <w:bottom w:w="20" w:type="dxa"/>
              <w:right w:w="20" w:type="dxa"/>
            </w:tcMar>
          </w:tcPr>
          <w:p w14:paraId="5256A0CC" w14:textId="77777777" w:rsidR="00A93FC6" w:rsidRDefault="00000000">
            <w:pPr>
              <w:spacing w:before="240" w:after="240"/>
            </w:pPr>
            <w:r>
              <w:t xml:space="preserve"> </w:t>
            </w:r>
          </w:p>
        </w:tc>
        <w:tc>
          <w:tcPr>
            <w:tcW w:w="2100" w:type="dxa"/>
            <w:tcBorders>
              <w:top w:val="nil"/>
              <w:left w:val="nil"/>
              <w:bottom w:val="nil"/>
              <w:right w:val="nil"/>
            </w:tcBorders>
            <w:tcMar>
              <w:top w:w="20" w:type="dxa"/>
              <w:left w:w="20" w:type="dxa"/>
              <w:bottom w:w="20" w:type="dxa"/>
              <w:right w:w="20" w:type="dxa"/>
            </w:tcMar>
          </w:tcPr>
          <w:p w14:paraId="60639DC8" w14:textId="77777777" w:rsidR="00A93FC6" w:rsidRDefault="00000000">
            <w:pPr>
              <w:spacing w:before="240" w:after="240"/>
            </w:pPr>
            <w:r>
              <w:t>Flexible scaling, pay-for-use</w:t>
            </w:r>
          </w:p>
        </w:tc>
        <w:tc>
          <w:tcPr>
            <w:tcW w:w="90" w:type="dxa"/>
            <w:tcBorders>
              <w:top w:val="nil"/>
              <w:left w:val="nil"/>
              <w:bottom w:val="nil"/>
              <w:right w:val="nil"/>
            </w:tcBorders>
            <w:tcMar>
              <w:top w:w="20" w:type="dxa"/>
              <w:left w:w="20" w:type="dxa"/>
              <w:bottom w:w="20" w:type="dxa"/>
              <w:right w:w="20" w:type="dxa"/>
            </w:tcMar>
          </w:tcPr>
          <w:p w14:paraId="68A8DC2B" w14:textId="77777777" w:rsidR="00A93FC6" w:rsidRDefault="00000000">
            <w:pPr>
              <w:spacing w:before="240" w:after="240"/>
            </w:pPr>
            <w:r>
              <w:t xml:space="preserve"> </w:t>
            </w:r>
          </w:p>
        </w:tc>
        <w:tc>
          <w:tcPr>
            <w:tcW w:w="2070" w:type="dxa"/>
            <w:tcBorders>
              <w:top w:val="nil"/>
              <w:left w:val="nil"/>
              <w:bottom w:val="nil"/>
              <w:right w:val="nil"/>
            </w:tcBorders>
            <w:tcMar>
              <w:top w:w="20" w:type="dxa"/>
              <w:left w:w="20" w:type="dxa"/>
              <w:bottom w:w="20" w:type="dxa"/>
              <w:right w:w="20" w:type="dxa"/>
            </w:tcMar>
          </w:tcPr>
          <w:p w14:paraId="311347A5" w14:textId="77777777" w:rsidR="00A93FC6" w:rsidRDefault="00000000">
            <w:pPr>
              <w:spacing w:before="240" w:after="240"/>
            </w:pPr>
            <w:r>
              <w:t>Access to high-performance resources without owning</w:t>
            </w:r>
          </w:p>
        </w:tc>
        <w:tc>
          <w:tcPr>
            <w:tcW w:w="90" w:type="dxa"/>
            <w:tcBorders>
              <w:top w:val="nil"/>
              <w:left w:val="nil"/>
              <w:bottom w:val="nil"/>
              <w:right w:val="nil"/>
            </w:tcBorders>
            <w:tcMar>
              <w:top w:w="20" w:type="dxa"/>
              <w:left w:w="20" w:type="dxa"/>
              <w:bottom w:w="20" w:type="dxa"/>
              <w:right w:w="20" w:type="dxa"/>
            </w:tcMar>
          </w:tcPr>
          <w:p w14:paraId="4BB05F9B" w14:textId="77777777" w:rsidR="00A93FC6" w:rsidRDefault="00000000">
            <w:pPr>
              <w:spacing w:before="240" w:after="240"/>
            </w:pPr>
            <w:r>
              <w:t xml:space="preserve"> </w:t>
            </w:r>
          </w:p>
        </w:tc>
        <w:tc>
          <w:tcPr>
            <w:tcW w:w="2325" w:type="dxa"/>
            <w:tcBorders>
              <w:top w:val="nil"/>
              <w:left w:val="nil"/>
              <w:bottom w:val="nil"/>
              <w:right w:val="nil"/>
            </w:tcBorders>
            <w:tcMar>
              <w:top w:w="20" w:type="dxa"/>
              <w:left w:w="20" w:type="dxa"/>
              <w:bottom w:w="20" w:type="dxa"/>
              <w:right w:w="20" w:type="dxa"/>
            </w:tcMar>
          </w:tcPr>
          <w:p w14:paraId="48508EE8" w14:textId="77777777" w:rsidR="00A93FC6" w:rsidRDefault="00000000">
            <w:pPr>
              <w:spacing w:before="240" w:after="240"/>
            </w:pPr>
            <w:r>
              <w:t>Maximum performance &amp; customization</w:t>
            </w:r>
          </w:p>
        </w:tc>
      </w:tr>
      <w:tr w:rsidR="00A93FC6" w14:paraId="15AA1CC0" w14:textId="77777777" w:rsidTr="00E4225B">
        <w:trPr>
          <w:trHeight w:val="840"/>
        </w:trPr>
        <w:tc>
          <w:tcPr>
            <w:tcW w:w="1770" w:type="dxa"/>
            <w:tcBorders>
              <w:top w:val="nil"/>
              <w:left w:val="nil"/>
              <w:bottom w:val="nil"/>
              <w:right w:val="nil"/>
            </w:tcBorders>
            <w:tcMar>
              <w:top w:w="20" w:type="dxa"/>
              <w:left w:w="20" w:type="dxa"/>
              <w:bottom w:w="20" w:type="dxa"/>
              <w:right w:w="20" w:type="dxa"/>
            </w:tcMar>
          </w:tcPr>
          <w:p w14:paraId="3DCAC7BD" w14:textId="77777777" w:rsidR="00A93FC6" w:rsidRDefault="00000000">
            <w:pPr>
              <w:spacing w:before="240" w:after="240"/>
              <w:rPr>
                <w:b/>
                <w:bCs/>
              </w:rPr>
            </w:pPr>
            <w:r>
              <w:rPr>
                <w:b/>
                <w:bCs/>
              </w:rPr>
              <w:t>Compliance / Sensitive Data</w:t>
            </w:r>
          </w:p>
        </w:tc>
        <w:tc>
          <w:tcPr>
            <w:tcW w:w="90" w:type="dxa"/>
            <w:tcBorders>
              <w:top w:val="nil"/>
              <w:left w:val="nil"/>
              <w:bottom w:val="nil"/>
              <w:right w:val="nil"/>
            </w:tcBorders>
            <w:tcMar>
              <w:top w:w="20" w:type="dxa"/>
              <w:left w:w="20" w:type="dxa"/>
              <w:bottom w:w="20" w:type="dxa"/>
              <w:right w:w="20" w:type="dxa"/>
            </w:tcMar>
          </w:tcPr>
          <w:p w14:paraId="275D690A" w14:textId="77777777" w:rsidR="00A93FC6" w:rsidRDefault="00000000">
            <w:pPr>
              <w:spacing w:before="240" w:after="240"/>
            </w:pPr>
            <w:r>
              <w:t xml:space="preserve"> </w:t>
            </w:r>
          </w:p>
        </w:tc>
        <w:tc>
          <w:tcPr>
            <w:tcW w:w="90" w:type="dxa"/>
            <w:tcBorders>
              <w:top w:val="nil"/>
              <w:left w:val="nil"/>
              <w:bottom w:val="nil"/>
              <w:right w:val="nil"/>
            </w:tcBorders>
            <w:tcMar>
              <w:top w:w="20" w:type="dxa"/>
              <w:left w:w="20" w:type="dxa"/>
              <w:bottom w:w="20" w:type="dxa"/>
              <w:right w:w="20" w:type="dxa"/>
            </w:tcMar>
          </w:tcPr>
          <w:p w14:paraId="45937422" w14:textId="77777777" w:rsidR="00A93FC6" w:rsidRDefault="00000000">
            <w:pPr>
              <w:spacing w:before="240" w:after="240"/>
            </w:pPr>
            <w:r>
              <w:t xml:space="preserve"> </w:t>
            </w:r>
          </w:p>
        </w:tc>
        <w:tc>
          <w:tcPr>
            <w:tcW w:w="2100" w:type="dxa"/>
            <w:tcBorders>
              <w:top w:val="nil"/>
              <w:left w:val="nil"/>
              <w:bottom w:val="nil"/>
              <w:right w:val="nil"/>
            </w:tcBorders>
            <w:tcMar>
              <w:top w:w="20" w:type="dxa"/>
              <w:left w:w="20" w:type="dxa"/>
              <w:bottom w:w="20" w:type="dxa"/>
              <w:right w:w="20" w:type="dxa"/>
            </w:tcMar>
          </w:tcPr>
          <w:p w14:paraId="44DB0B7A" w14:textId="77777777" w:rsidR="00A93FC6" w:rsidRDefault="00000000">
            <w:pPr>
              <w:spacing w:before="240" w:after="240"/>
            </w:pPr>
            <w:r>
              <w:t>Cloud providers take care of physical controls, the rest are the responsibility of the institution</w:t>
            </w:r>
          </w:p>
        </w:tc>
        <w:tc>
          <w:tcPr>
            <w:tcW w:w="90" w:type="dxa"/>
            <w:tcBorders>
              <w:top w:val="nil"/>
              <w:left w:val="nil"/>
              <w:bottom w:val="nil"/>
              <w:right w:val="nil"/>
            </w:tcBorders>
            <w:tcMar>
              <w:top w:w="20" w:type="dxa"/>
              <w:left w:w="20" w:type="dxa"/>
              <w:bottom w:w="20" w:type="dxa"/>
              <w:right w:w="20" w:type="dxa"/>
            </w:tcMar>
          </w:tcPr>
          <w:p w14:paraId="225419F8" w14:textId="77777777" w:rsidR="00A93FC6" w:rsidRDefault="00000000">
            <w:pPr>
              <w:spacing w:before="240" w:after="240"/>
            </w:pPr>
            <w:r>
              <w:t xml:space="preserve"> </w:t>
            </w:r>
          </w:p>
        </w:tc>
        <w:tc>
          <w:tcPr>
            <w:tcW w:w="2070" w:type="dxa"/>
            <w:tcBorders>
              <w:top w:val="nil"/>
              <w:left w:val="nil"/>
              <w:bottom w:val="nil"/>
              <w:right w:val="nil"/>
            </w:tcBorders>
            <w:tcMar>
              <w:top w:w="20" w:type="dxa"/>
              <w:left w:w="20" w:type="dxa"/>
              <w:bottom w:w="20" w:type="dxa"/>
              <w:right w:w="20" w:type="dxa"/>
            </w:tcMar>
          </w:tcPr>
          <w:p w14:paraId="0F74FFFC" w14:textId="77777777" w:rsidR="00A93FC6" w:rsidRDefault="00000000">
            <w:pPr>
              <w:spacing w:before="240" w:after="240"/>
            </w:pPr>
            <w:r>
              <w:t>Majority of controls are handled by the consortium, with BAA needed for each institution</w:t>
            </w:r>
          </w:p>
        </w:tc>
        <w:tc>
          <w:tcPr>
            <w:tcW w:w="90" w:type="dxa"/>
            <w:tcBorders>
              <w:top w:val="nil"/>
              <w:left w:val="nil"/>
              <w:bottom w:val="nil"/>
              <w:right w:val="nil"/>
            </w:tcBorders>
            <w:tcMar>
              <w:top w:w="20" w:type="dxa"/>
              <w:left w:w="20" w:type="dxa"/>
              <w:bottom w:w="20" w:type="dxa"/>
              <w:right w:w="20" w:type="dxa"/>
            </w:tcMar>
          </w:tcPr>
          <w:p w14:paraId="168D2590" w14:textId="77777777" w:rsidR="00A93FC6" w:rsidRDefault="00000000">
            <w:pPr>
              <w:spacing w:before="240" w:after="240"/>
            </w:pPr>
            <w:r>
              <w:t xml:space="preserve"> </w:t>
            </w:r>
          </w:p>
        </w:tc>
        <w:tc>
          <w:tcPr>
            <w:tcW w:w="2325" w:type="dxa"/>
            <w:tcBorders>
              <w:top w:val="nil"/>
              <w:left w:val="nil"/>
              <w:bottom w:val="nil"/>
              <w:right w:val="nil"/>
            </w:tcBorders>
            <w:tcMar>
              <w:top w:w="20" w:type="dxa"/>
              <w:left w:w="20" w:type="dxa"/>
              <w:bottom w:w="20" w:type="dxa"/>
              <w:right w:w="20" w:type="dxa"/>
            </w:tcMar>
          </w:tcPr>
          <w:p w14:paraId="3FE6D5F0" w14:textId="77777777" w:rsidR="00A93FC6" w:rsidRDefault="00000000">
            <w:pPr>
              <w:spacing w:before="240" w:after="240"/>
            </w:pPr>
            <w:r>
              <w:t>Full control, can meet strict regulatory requirements</w:t>
            </w:r>
          </w:p>
        </w:tc>
      </w:tr>
      <w:tr w:rsidR="00A93FC6" w14:paraId="42A31314" w14:textId="77777777" w:rsidTr="00E4225B">
        <w:trPr>
          <w:trHeight w:val="840"/>
        </w:trPr>
        <w:tc>
          <w:tcPr>
            <w:tcW w:w="1770" w:type="dxa"/>
            <w:tcBorders>
              <w:top w:val="nil"/>
              <w:left w:val="nil"/>
              <w:bottom w:val="nil"/>
              <w:right w:val="nil"/>
            </w:tcBorders>
            <w:tcMar>
              <w:top w:w="20" w:type="dxa"/>
              <w:left w:w="20" w:type="dxa"/>
              <w:bottom w:w="20" w:type="dxa"/>
              <w:right w:w="20" w:type="dxa"/>
            </w:tcMar>
          </w:tcPr>
          <w:p w14:paraId="3A1DACF2" w14:textId="77777777" w:rsidR="00A93FC6" w:rsidRDefault="00000000">
            <w:pPr>
              <w:spacing w:before="240" w:after="240"/>
              <w:rPr>
                <w:b/>
                <w:bCs/>
              </w:rPr>
            </w:pPr>
            <w:r>
              <w:rPr>
                <w:b/>
                <w:bCs/>
              </w:rPr>
              <w:t>Teaching &amp; Pilot Projects</w:t>
            </w:r>
          </w:p>
        </w:tc>
        <w:tc>
          <w:tcPr>
            <w:tcW w:w="90" w:type="dxa"/>
            <w:tcBorders>
              <w:top w:val="nil"/>
              <w:left w:val="nil"/>
              <w:bottom w:val="nil"/>
              <w:right w:val="nil"/>
            </w:tcBorders>
            <w:tcMar>
              <w:top w:w="20" w:type="dxa"/>
              <w:left w:w="20" w:type="dxa"/>
              <w:bottom w:w="20" w:type="dxa"/>
              <w:right w:w="20" w:type="dxa"/>
            </w:tcMar>
          </w:tcPr>
          <w:p w14:paraId="1F80866D" w14:textId="77777777" w:rsidR="00A93FC6" w:rsidRDefault="00000000">
            <w:pPr>
              <w:spacing w:before="240" w:after="240"/>
            </w:pPr>
            <w:r>
              <w:t xml:space="preserve"> </w:t>
            </w:r>
          </w:p>
        </w:tc>
        <w:tc>
          <w:tcPr>
            <w:tcW w:w="90" w:type="dxa"/>
            <w:tcBorders>
              <w:top w:val="nil"/>
              <w:left w:val="nil"/>
              <w:bottom w:val="nil"/>
              <w:right w:val="nil"/>
            </w:tcBorders>
            <w:tcMar>
              <w:top w:w="20" w:type="dxa"/>
              <w:left w:w="20" w:type="dxa"/>
              <w:bottom w:w="20" w:type="dxa"/>
              <w:right w:w="20" w:type="dxa"/>
            </w:tcMar>
          </w:tcPr>
          <w:p w14:paraId="20B1B427" w14:textId="77777777" w:rsidR="00A93FC6" w:rsidRDefault="00000000">
            <w:pPr>
              <w:spacing w:before="240" w:after="240"/>
            </w:pPr>
            <w:r>
              <w:t xml:space="preserve"> </w:t>
            </w:r>
          </w:p>
        </w:tc>
        <w:tc>
          <w:tcPr>
            <w:tcW w:w="2100" w:type="dxa"/>
            <w:tcBorders>
              <w:top w:val="nil"/>
              <w:left w:val="nil"/>
              <w:bottom w:val="nil"/>
              <w:right w:val="nil"/>
            </w:tcBorders>
            <w:tcMar>
              <w:top w:w="20" w:type="dxa"/>
              <w:left w:w="20" w:type="dxa"/>
              <w:bottom w:w="20" w:type="dxa"/>
              <w:right w:w="20" w:type="dxa"/>
            </w:tcMar>
          </w:tcPr>
          <w:p w14:paraId="5C590A9E" w14:textId="77777777" w:rsidR="00A93FC6" w:rsidRDefault="00000000">
            <w:pPr>
              <w:spacing w:before="240" w:after="240"/>
            </w:pPr>
            <w:r>
              <w:t>Excellent for experimentation or small-scale classes</w:t>
            </w:r>
          </w:p>
        </w:tc>
        <w:tc>
          <w:tcPr>
            <w:tcW w:w="90" w:type="dxa"/>
            <w:tcBorders>
              <w:top w:val="nil"/>
              <w:left w:val="nil"/>
              <w:bottom w:val="nil"/>
              <w:right w:val="nil"/>
            </w:tcBorders>
            <w:tcMar>
              <w:top w:w="20" w:type="dxa"/>
              <w:left w:w="20" w:type="dxa"/>
              <w:bottom w:w="20" w:type="dxa"/>
              <w:right w:w="20" w:type="dxa"/>
            </w:tcMar>
          </w:tcPr>
          <w:p w14:paraId="5EF9300E" w14:textId="77777777" w:rsidR="00A93FC6" w:rsidRDefault="00000000">
            <w:pPr>
              <w:spacing w:before="240" w:after="240"/>
            </w:pPr>
            <w:r>
              <w:t xml:space="preserve"> </w:t>
            </w:r>
          </w:p>
        </w:tc>
        <w:tc>
          <w:tcPr>
            <w:tcW w:w="2070" w:type="dxa"/>
            <w:tcBorders>
              <w:top w:val="nil"/>
              <w:left w:val="nil"/>
              <w:bottom w:val="nil"/>
              <w:right w:val="nil"/>
            </w:tcBorders>
            <w:tcMar>
              <w:top w:w="20" w:type="dxa"/>
              <w:left w:w="20" w:type="dxa"/>
              <w:bottom w:w="20" w:type="dxa"/>
              <w:right w:w="20" w:type="dxa"/>
            </w:tcMar>
          </w:tcPr>
          <w:p w14:paraId="18B56F11" w14:textId="77777777" w:rsidR="00A93FC6" w:rsidRDefault="00000000">
            <w:pPr>
              <w:spacing w:before="240" w:after="240"/>
            </w:pPr>
            <w:r>
              <w:t>Good for pilot research &amp; teaching at scale</w:t>
            </w:r>
          </w:p>
        </w:tc>
        <w:tc>
          <w:tcPr>
            <w:tcW w:w="90" w:type="dxa"/>
            <w:tcBorders>
              <w:top w:val="nil"/>
              <w:left w:val="nil"/>
              <w:bottom w:val="nil"/>
              <w:right w:val="nil"/>
            </w:tcBorders>
            <w:tcMar>
              <w:top w:w="20" w:type="dxa"/>
              <w:left w:w="20" w:type="dxa"/>
              <w:bottom w:w="20" w:type="dxa"/>
              <w:right w:w="20" w:type="dxa"/>
            </w:tcMar>
          </w:tcPr>
          <w:p w14:paraId="03729AD3" w14:textId="77777777" w:rsidR="00A93FC6" w:rsidRDefault="00000000">
            <w:pPr>
              <w:spacing w:before="240" w:after="240"/>
            </w:pPr>
            <w:r>
              <w:t xml:space="preserve"> </w:t>
            </w:r>
          </w:p>
        </w:tc>
        <w:tc>
          <w:tcPr>
            <w:tcW w:w="2325" w:type="dxa"/>
            <w:tcBorders>
              <w:top w:val="nil"/>
              <w:left w:val="nil"/>
              <w:bottom w:val="nil"/>
              <w:right w:val="nil"/>
            </w:tcBorders>
            <w:tcMar>
              <w:top w:w="20" w:type="dxa"/>
              <w:left w:w="20" w:type="dxa"/>
              <w:bottom w:w="20" w:type="dxa"/>
              <w:right w:w="20" w:type="dxa"/>
            </w:tcMar>
          </w:tcPr>
          <w:p w14:paraId="5EAA343E" w14:textId="77777777" w:rsidR="00A93FC6" w:rsidRDefault="00000000">
            <w:pPr>
              <w:spacing w:before="240" w:after="240"/>
            </w:pPr>
            <w:r>
              <w:t>Can also support teaching, but often geared to research</w:t>
            </w:r>
          </w:p>
        </w:tc>
      </w:tr>
      <w:tr w:rsidR="00A93FC6" w14:paraId="6336DA11" w14:textId="77777777" w:rsidTr="00E4225B">
        <w:trPr>
          <w:trHeight w:val="1110"/>
        </w:trPr>
        <w:tc>
          <w:tcPr>
            <w:tcW w:w="1770" w:type="dxa"/>
            <w:tcBorders>
              <w:top w:val="nil"/>
              <w:left w:val="nil"/>
              <w:bottom w:val="nil"/>
              <w:right w:val="nil"/>
            </w:tcBorders>
            <w:tcMar>
              <w:top w:w="20" w:type="dxa"/>
              <w:left w:w="20" w:type="dxa"/>
              <w:bottom w:w="20" w:type="dxa"/>
              <w:right w:w="20" w:type="dxa"/>
            </w:tcMar>
          </w:tcPr>
          <w:p w14:paraId="051FB6F8" w14:textId="77777777" w:rsidR="00A93FC6" w:rsidRDefault="00000000">
            <w:pPr>
              <w:spacing w:before="240" w:after="240"/>
              <w:rPr>
                <w:b/>
                <w:bCs/>
              </w:rPr>
            </w:pPr>
            <w:r>
              <w:rPr>
                <w:b/>
                <w:bCs/>
              </w:rPr>
              <w:t>Long-Term Institutional Goals</w:t>
            </w:r>
          </w:p>
        </w:tc>
        <w:tc>
          <w:tcPr>
            <w:tcW w:w="90" w:type="dxa"/>
            <w:tcBorders>
              <w:top w:val="nil"/>
              <w:left w:val="nil"/>
              <w:bottom w:val="nil"/>
              <w:right w:val="nil"/>
            </w:tcBorders>
            <w:tcMar>
              <w:top w:w="20" w:type="dxa"/>
              <w:left w:w="20" w:type="dxa"/>
              <w:bottom w:w="20" w:type="dxa"/>
              <w:right w:w="20" w:type="dxa"/>
            </w:tcMar>
          </w:tcPr>
          <w:p w14:paraId="2CBAED42" w14:textId="77777777" w:rsidR="00A93FC6" w:rsidRDefault="00000000">
            <w:pPr>
              <w:spacing w:before="240" w:after="240"/>
            </w:pPr>
            <w:r>
              <w:t xml:space="preserve"> </w:t>
            </w:r>
          </w:p>
        </w:tc>
        <w:tc>
          <w:tcPr>
            <w:tcW w:w="90" w:type="dxa"/>
            <w:tcBorders>
              <w:top w:val="nil"/>
              <w:left w:val="nil"/>
              <w:bottom w:val="nil"/>
              <w:right w:val="nil"/>
            </w:tcBorders>
            <w:tcMar>
              <w:top w:w="20" w:type="dxa"/>
              <w:left w:w="20" w:type="dxa"/>
              <w:bottom w:w="20" w:type="dxa"/>
              <w:right w:w="20" w:type="dxa"/>
            </w:tcMar>
          </w:tcPr>
          <w:p w14:paraId="1A2CDA6A" w14:textId="77777777" w:rsidR="00A93FC6" w:rsidRDefault="00000000">
            <w:pPr>
              <w:spacing w:before="240" w:after="240"/>
            </w:pPr>
            <w:r>
              <w:t xml:space="preserve"> </w:t>
            </w:r>
          </w:p>
        </w:tc>
        <w:tc>
          <w:tcPr>
            <w:tcW w:w="2100" w:type="dxa"/>
            <w:tcBorders>
              <w:top w:val="nil"/>
              <w:left w:val="nil"/>
              <w:bottom w:val="nil"/>
              <w:right w:val="nil"/>
            </w:tcBorders>
            <w:tcMar>
              <w:top w:w="20" w:type="dxa"/>
              <w:left w:w="20" w:type="dxa"/>
              <w:bottom w:w="20" w:type="dxa"/>
              <w:right w:w="20" w:type="dxa"/>
            </w:tcMar>
          </w:tcPr>
          <w:p w14:paraId="45C3DB64" w14:textId="77777777" w:rsidR="00A93FC6" w:rsidRDefault="00000000">
            <w:pPr>
              <w:spacing w:before="240" w:after="240"/>
            </w:pPr>
            <w:r>
              <w:t>Builds experience, limited internal capacity</w:t>
            </w:r>
          </w:p>
        </w:tc>
        <w:tc>
          <w:tcPr>
            <w:tcW w:w="90" w:type="dxa"/>
            <w:tcBorders>
              <w:top w:val="nil"/>
              <w:left w:val="nil"/>
              <w:bottom w:val="nil"/>
              <w:right w:val="nil"/>
            </w:tcBorders>
            <w:tcMar>
              <w:top w:w="20" w:type="dxa"/>
              <w:left w:w="20" w:type="dxa"/>
              <w:bottom w:w="20" w:type="dxa"/>
              <w:right w:w="20" w:type="dxa"/>
            </w:tcMar>
          </w:tcPr>
          <w:p w14:paraId="05C45EBA" w14:textId="77777777" w:rsidR="00A93FC6" w:rsidRDefault="00000000">
            <w:pPr>
              <w:spacing w:before="240" w:after="240"/>
            </w:pPr>
            <w:r>
              <w:t xml:space="preserve"> </w:t>
            </w:r>
          </w:p>
        </w:tc>
        <w:tc>
          <w:tcPr>
            <w:tcW w:w="2070" w:type="dxa"/>
            <w:tcBorders>
              <w:top w:val="nil"/>
              <w:left w:val="nil"/>
              <w:bottom w:val="nil"/>
              <w:right w:val="nil"/>
            </w:tcBorders>
            <w:tcMar>
              <w:top w:w="20" w:type="dxa"/>
              <w:left w:w="20" w:type="dxa"/>
              <w:bottom w:w="20" w:type="dxa"/>
              <w:right w:w="20" w:type="dxa"/>
            </w:tcMar>
          </w:tcPr>
          <w:p w14:paraId="5972BF6A" w14:textId="77777777" w:rsidR="00A93FC6" w:rsidRDefault="00000000">
            <w:pPr>
              <w:spacing w:before="240" w:after="240"/>
            </w:pPr>
            <w:r>
              <w:t>Builds some expertise, can transition to ownership</w:t>
            </w:r>
          </w:p>
        </w:tc>
        <w:tc>
          <w:tcPr>
            <w:tcW w:w="90" w:type="dxa"/>
            <w:tcBorders>
              <w:top w:val="nil"/>
              <w:left w:val="nil"/>
              <w:bottom w:val="nil"/>
              <w:right w:val="nil"/>
            </w:tcBorders>
            <w:tcMar>
              <w:top w:w="20" w:type="dxa"/>
              <w:left w:w="20" w:type="dxa"/>
              <w:bottom w:w="20" w:type="dxa"/>
              <w:right w:w="20" w:type="dxa"/>
            </w:tcMar>
          </w:tcPr>
          <w:p w14:paraId="2226280A" w14:textId="77777777" w:rsidR="00A93FC6" w:rsidRDefault="00000000">
            <w:pPr>
              <w:spacing w:before="240" w:after="240"/>
            </w:pPr>
            <w:r>
              <w:t xml:space="preserve"> </w:t>
            </w:r>
          </w:p>
        </w:tc>
        <w:tc>
          <w:tcPr>
            <w:tcW w:w="2325" w:type="dxa"/>
            <w:tcBorders>
              <w:top w:val="nil"/>
              <w:left w:val="nil"/>
              <w:bottom w:val="nil"/>
              <w:right w:val="nil"/>
            </w:tcBorders>
            <w:tcMar>
              <w:top w:w="20" w:type="dxa"/>
              <w:left w:w="20" w:type="dxa"/>
              <w:bottom w:w="20" w:type="dxa"/>
              <w:right w:w="20" w:type="dxa"/>
            </w:tcMar>
          </w:tcPr>
          <w:p w14:paraId="2CDADC01" w14:textId="77777777" w:rsidR="00A93FC6" w:rsidRDefault="00000000">
            <w:pPr>
              <w:spacing w:before="240" w:after="240"/>
            </w:pPr>
            <w:r>
              <w:t>Builds long-term capacity &amp; expertise, strategic investment</w:t>
            </w:r>
          </w:p>
        </w:tc>
      </w:tr>
      <w:tr w:rsidR="00A93FC6" w14:paraId="37A33F05" w14:textId="77777777" w:rsidTr="00E4225B">
        <w:trPr>
          <w:trHeight w:val="1380"/>
        </w:trPr>
        <w:tc>
          <w:tcPr>
            <w:tcW w:w="1770" w:type="dxa"/>
            <w:tcBorders>
              <w:top w:val="nil"/>
              <w:left w:val="nil"/>
              <w:bottom w:val="nil"/>
              <w:right w:val="nil"/>
            </w:tcBorders>
            <w:tcMar>
              <w:top w:w="20" w:type="dxa"/>
              <w:left w:w="20" w:type="dxa"/>
              <w:bottom w:w="20" w:type="dxa"/>
              <w:right w:w="20" w:type="dxa"/>
            </w:tcMar>
          </w:tcPr>
          <w:p w14:paraId="4A58B7DC" w14:textId="77777777" w:rsidR="00A93FC6" w:rsidRDefault="00000000">
            <w:pPr>
              <w:spacing w:before="240" w:after="240"/>
              <w:rPr>
                <w:b/>
                <w:bCs/>
              </w:rPr>
            </w:pPr>
            <w:r>
              <w:rPr>
                <w:b/>
                <w:bCs/>
              </w:rPr>
              <w:t>Best Use Cases / Notes</w:t>
            </w:r>
          </w:p>
        </w:tc>
        <w:tc>
          <w:tcPr>
            <w:tcW w:w="90" w:type="dxa"/>
            <w:tcBorders>
              <w:top w:val="nil"/>
              <w:left w:val="nil"/>
              <w:bottom w:val="nil"/>
              <w:right w:val="nil"/>
            </w:tcBorders>
            <w:tcMar>
              <w:top w:w="20" w:type="dxa"/>
              <w:left w:w="20" w:type="dxa"/>
              <w:bottom w:w="20" w:type="dxa"/>
              <w:right w:w="20" w:type="dxa"/>
            </w:tcMar>
          </w:tcPr>
          <w:p w14:paraId="48924C29" w14:textId="77777777" w:rsidR="00A93FC6" w:rsidRDefault="00000000">
            <w:pPr>
              <w:spacing w:before="240" w:after="240"/>
            </w:pPr>
            <w:r>
              <w:t xml:space="preserve"> </w:t>
            </w:r>
          </w:p>
        </w:tc>
        <w:tc>
          <w:tcPr>
            <w:tcW w:w="90" w:type="dxa"/>
            <w:tcBorders>
              <w:top w:val="nil"/>
              <w:left w:val="nil"/>
              <w:bottom w:val="nil"/>
              <w:right w:val="nil"/>
            </w:tcBorders>
            <w:tcMar>
              <w:top w:w="20" w:type="dxa"/>
              <w:left w:w="20" w:type="dxa"/>
              <w:bottom w:w="20" w:type="dxa"/>
              <w:right w:w="20" w:type="dxa"/>
            </w:tcMar>
          </w:tcPr>
          <w:p w14:paraId="2F80A78C" w14:textId="77777777" w:rsidR="00A93FC6" w:rsidRDefault="00000000">
            <w:pPr>
              <w:spacing w:before="240" w:after="240"/>
            </w:pPr>
            <w:r>
              <w:t xml:space="preserve"> </w:t>
            </w:r>
          </w:p>
        </w:tc>
        <w:tc>
          <w:tcPr>
            <w:tcW w:w="2100" w:type="dxa"/>
            <w:tcBorders>
              <w:top w:val="nil"/>
              <w:left w:val="nil"/>
              <w:bottom w:val="nil"/>
              <w:right w:val="nil"/>
            </w:tcBorders>
            <w:tcMar>
              <w:top w:w="20" w:type="dxa"/>
              <w:left w:w="20" w:type="dxa"/>
              <w:bottom w:w="20" w:type="dxa"/>
              <w:right w:w="20" w:type="dxa"/>
            </w:tcMar>
          </w:tcPr>
          <w:p w14:paraId="75A879DA" w14:textId="77777777" w:rsidR="00A93FC6" w:rsidRDefault="00000000">
            <w:pPr>
              <w:spacing w:before="240" w:after="240"/>
            </w:pPr>
            <w:r>
              <w:t>Entry point for universities starting AI journey</w:t>
            </w:r>
          </w:p>
        </w:tc>
        <w:tc>
          <w:tcPr>
            <w:tcW w:w="90" w:type="dxa"/>
            <w:tcBorders>
              <w:top w:val="nil"/>
              <w:left w:val="nil"/>
              <w:bottom w:val="nil"/>
              <w:right w:val="nil"/>
            </w:tcBorders>
            <w:tcMar>
              <w:top w:w="20" w:type="dxa"/>
              <w:left w:w="20" w:type="dxa"/>
              <w:bottom w:w="20" w:type="dxa"/>
              <w:right w:w="20" w:type="dxa"/>
            </w:tcMar>
          </w:tcPr>
          <w:p w14:paraId="5B5791C9" w14:textId="77777777" w:rsidR="00A93FC6" w:rsidRDefault="00000000">
            <w:pPr>
              <w:spacing w:before="240" w:after="240"/>
            </w:pPr>
            <w:r>
              <w:t xml:space="preserve"> </w:t>
            </w:r>
          </w:p>
        </w:tc>
        <w:tc>
          <w:tcPr>
            <w:tcW w:w="2070" w:type="dxa"/>
            <w:tcBorders>
              <w:top w:val="nil"/>
              <w:left w:val="nil"/>
              <w:bottom w:val="nil"/>
              <w:right w:val="nil"/>
            </w:tcBorders>
            <w:tcMar>
              <w:top w:w="20" w:type="dxa"/>
              <w:left w:w="20" w:type="dxa"/>
              <w:bottom w:w="20" w:type="dxa"/>
              <w:right w:w="20" w:type="dxa"/>
            </w:tcMar>
          </w:tcPr>
          <w:p w14:paraId="4980B3F2" w14:textId="77777777" w:rsidR="00A93FC6" w:rsidRDefault="00000000">
            <w:pPr>
              <w:spacing w:before="240" w:after="240"/>
            </w:pPr>
            <w:r>
              <w:t>Universities wanting access to advanced systems without owning</w:t>
            </w:r>
          </w:p>
        </w:tc>
        <w:tc>
          <w:tcPr>
            <w:tcW w:w="90" w:type="dxa"/>
            <w:tcBorders>
              <w:top w:val="nil"/>
              <w:left w:val="nil"/>
              <w:bottom w:val="nil"/>
              <w:right w:val="nil"/>
            </w:tcBorders>
            <w:tcMar>
              <w:top w:w="20" w:type="dxa"/>
              <w:left w:w="20" w:type="dxa"/>
              <w:bottom w:w="20" w:type="dxa"/>
              <w:right w:w="20" w:type="dxa"/>
            </w:tcMar>
          </w:tcPr>
          <w:p w14:paraId="69842247" w14:textId="77777777" w:rsidR="00A93FC6" w:rsidRDefault="00000000">
            <w:pPr>
              <w:spacing w:before="240" w:after="240"/>
            </w:pPr>
            <w:r>
              <w:t xml:space="preserve"> </w:t>
            </w:r>
          </w:p>
        </w:tc>
        <w:tc>
          <w:tcPr>
            <w:tcW w:w="2325" w:type="dxa"/>
            <w:tcBorders>
              <w:top w:val="nil"/>
              <w:left w:val="nil"/>
              <w:bottom w:val="nil"/>
              <w:right w:val="nil"/>
            </w:tcBorders>
            <w:tcMar>
              <w:top w:w="20" w:type="dxa"/>
              <w:left w:w="20" w:type="dxa"/>
              <w:bottom w:w="20" w:type="dxa"/>
              <w:right w:w="20" w:type="dxa"/>
            </w:tcMar>
          </w:tcPr>
          <w:p w14:paraId="0D23F60E" w14:textId="77777777" w:rsidR="00A93FC6" w:rsidRDefault="00000000">
            <w:pPr>
              <w:spacing w:before="240" w:after="240"/>
            </w:pPr>
            <w:r>
              <w:t>Institutions ready for sustained high-performance AI research; maximum control</w:t>
            </w:r>
          </w:p>
        </w:tc>
      </w:tr>
    </w:tbl>
    <w:p w14:paraId="0CB564AF" w14:textId="77777777" w:rsidR="00A93FC6" w:rsidRDefault="00A93FC6">
      <w:pPr>
        <w:spacing w:before="240" w:after="240"/>
      </w:pPr>
    </w:p>
    <w:p w14:paraId="25E43417" w14:textId="77777777" w:rsidR="00A93FC6" w:rsidRDefault="00000000">
      <w:pPr>
        <w:spacing w:before="240" w:after="240"/>
        <w:rPr>
          <w:b/>
          <w:bCs/>
          <w:sz w:val="34"/>
          <w:szCs w:val="34"/>
        </w:rPr>
      </w:pPr>
      <w:r>
        <w:rPr>
          <w:b/>
          <w:bCs/>
          <w:sz w:val="34"/>
          <w:szCs w:val="34"/>
        </w:rPr>
        <w:t>Core Infrastructure Considerations</w:t>
      </w:r>
    </w:p>
    <w:p w14:paraId="3EAF17C5" w14:textId="77777777" w:rsidR="00A93FC6" w:rsidRDefault="00000000">
      <w:pPr>
        <w:spacing w:before="240" w:after="240"/>
      </w:pPr>
      <w:r>
        <w:t>Regardless of the model, AI success requires thoughtful planning in the following areas:</w:t>
      </w:r>
    </w:p>
    <w:p w14:paraId="5E2FA9FF" w14:textId="77777777" w:rsidR="00A93FC6" w:rsidRDefault="00000000">
      <w:pPr>
        <w:pStyle w:val="Heading3"/>
        <w:keepNext w:val="0"/>
        <w:keepLines w:val="0"/>
        <w:spacing w:before="280"/>
        <w:rPr>
          <w:color w:val="000000"/>
          <w:sz w:val="22"/>
          <w:szCs w:val="22"/>
        </w:rPr>
      </w:pPr>
      <w:bookmarkStart w:id="6" w:name="_gndmayxsfp8s" w:colFirst="0" w:colLast="0"/>
      <w:bookmarkEnd w:id="6"/>
      <w:r>
        <w:rPr>
          <w:b/>
          <w:bCs/>
          <w:color w:val="000000"/>
          <w:sz w:val="22"/>
          <w:szCs w:val="22"/>
        </w:rPr>
        <w:t xml:space="preserve">Computing Hardware: </w:t>
      </w:r>
      <w:r>
        <w:rPr>
          <w:color w:val="000000"/>
          <w:sz w:val="22"/>
          <w:szCs w:val="22"/>
        </w:rPr>
        <w:t>While the supercomputer provides massive scale, workflows should be designed to be portable, scaling down a single GPU on a student’s laptop for testing and up to the cluster for production so science happens quicker at every level.</w:t>
      </w:r>
    </w:p>
    <w:p w14:paraId="659975C6" w14:textId="77777777" w:rsidR="00A93FC6" w:rsidRDefault="00000000">
      <w:pPr>
        <w:pStyle w:val="Heading3"/>
        <w:keepNext w:val="0"/>
        <w:keepLines w:val="0"/>
        <w:spacing w:before="280"/>
        <w:rPr>
          <w:color w:val="000000"/>
          <w:sz w:val="22"/>
          <w:szCs w:val="22"/>
        </w:rPr>
      </w:pPr>
      <w:bookmarkStart w:id="7" w:name="_xp6hs6llsmus" w:colFirst="0" w:colLast="0"/>
      <w:bookmarkEnd w:id="7"/>
      <w:r>
        <w:rPr>
          <w:b/>
          <w:bCs/>
          <w:color w:val="000000"/>
          <w:sz w:val="22"/>
          <w:szCs w:val="22"/>
        </w:rPr>
        <w:t xml:space="preserve">Specialized Staffing: </w:t>
      </w:r>
      <w:r>
        <w:rPr>
          <w:color w:val="000000"/>
          <w:sz w:val="22"/>
          <w:szCs w:val="22"/>
        </w:rPr>
        <w:t>Hardware alone is a "racecar without a pit crew." Whether using cloud or on-campus systems, universities require a multi-functional team to move researchers from basic access to peak performance.</w:t>
      </w:r>
    </w:p>
    <w:p w14:paraId="4B481A79" w14:textId="77777777" w:rsidR="00A93FC6" w:rsidRDefault="00000000">
      <w:pPr>
        <w:numPr>
          <w:ilvl w:val="0"/>
          <w:numId w:val="10"/>
        </w:numPr>
        <w:spacing w:before="240"/>
      </w:pPr>
      <w:r>
        <w:rPr>
          <w:b/>
          <w:bCs/>
        </w:rPr>
        <w:t>Systems Architects &amp; Support:</w:t>
      </w:r>
      <w:r>
        <w:t xml:space="preserve"> Manage the "plumbing"—hardware maintenance, high-speed networking, and software troubleshooting.</w:t>
      </w:r>
    </w:p>
    <w:p w14:paraId="282C833A" w14:textId="77777777" w:rsidR="00A93FC6" w:rsidRDefault="00000000">
      <w:pPr>
        <w:numPr>
          <w:ilvl w:val="0"/>
          <w:numId w:val="10"/>
        </w:numPr>
      </w:pPr>
      <w:r>
        <w:rPr>
          <w:b/>
          <w:bCs/>
        </w:rPr>
        <w:lastRenderedPageBreak/>
        <w:t>Research Facilitators:</w:t>
      </w:r>
      <w:r>
        <w:t xml:space="preserve"> Act as the bridge for non-technical faculty. They lead the "Education and Evangelism" effort through workshops and tutorials, ensuring researchers are comfortable with the scale.</w:t>
      </w:r>
    </w:p>
    <w:p w14:paraId="4EB317CB" w14:textId="77777777" w:rsidR="00A93FC6" w:rsidRDefault="00000000">
      <w:pPr>
        <w:numPr>
          <w:ilvl w:val="0"/>
          <w:numId w:val="10"/>
        </w:numPr>
      </w:pPr>
      <w:r>
        <w:rPr>
          <w:b/>
          <w:bCs/>
        </w:rPr>
        <w:t>Research Software Engineers (RSEs):</w:t>
      </w:r>
      <w:r>
        <w:t xml:space="preserve"> Act as "Free Co-PIs"</w:t>
      </w:r>
      <w:r>
        <w:rPr>
          <w:b/>
          <w:bCs/>
        </w:rPr>
        <w:t xml:space="preserve"> </w:t>
      </w:r>
      <w:r>
        <w:t xml:space="preserve">who sit down with faculty to map out solutions. The impact is measurable: In one NIH-funded study, RSE intervention reduced the computational timeline for a 400-brain data set from a projected three years to just over five weeks. </w:t>
      </w:r>
    </w:p>
    <w:p w14:paraId="47A4AAC6" w14:textId="77777777" w:rsidR="00A93FC6" w:rsidRDefault="00000000">
      <w:pPr>
        <w:numPr>
          <w:ilvl w:val="0"/>
          <w:numId w:val="10"/>
        </w:numPr>
        <w:spacing w:after="240"/>
      </w:pPr>
      <w:r>
        <w:rPr>
          <w:b/>
          <w:bCs/>
        </w:rPr>
        <w:t>Compliance Specialists:</w:t>
      </w:r>
      <w:r>
        <w:t xml:space="preserve"> Ensure the environment is pre-configured for sensitive data (HIPAA, FERPA, etc.), allowing researchers to focus on science rather than regulatory paperwork.</w:t>
      </w:r>
    </w:p>
    <w:p w14:paraId="13385A94" w14:textId="77777777" w:rsidR="00A93FC6" w:rsidRDefault="00A93FC6">
      <w:pPr>
        <w:pStyle w:val="Heading2"/>
        <w:keepNext w:val="0"/>
        <w:keepLines w:val="0"/>
        <w:spacing w:after="80"/>
        <w:rPr>
          <w:b/>
          <w:bCs/>
          <w:sz w:val="34"/>
          <w:szCs w:val="34"/>
        </w:rPr>
      </w:pPr>
      <w:bookmarkStart w:id="8" w:name="_hzzb8p3h9iw3" w:colFirst="0" w:colLast="0"/>
      <w:bookmarkEnd w:id="8"/>
    </w:p>
    <w:p w14:paraId="73F7A1C6" w14:textId="77777777" w:rsidR="00A93FC6" w:rsidRDefault="00000000">
      <w:pPr>
        <w:pStyle w:val="Heading2"/>
        <w:keepNext w:val="0"/>
        <w:keepLines w:val="0"/>
        <w:spacing w:after="80"/>
        <w:rPr>
          <w:b/>
          <w:bCs/>
          <w:sz w:val="34"/>
          <w:szCs w:val="34"/>
        </w:rPr>
      </w:pPr>
      <w:bookmarkStart w:id="9" w:name="_airtu34haxxd" w:colFirst="0" w:colLast="0"/>
      <w:bookmarkEnd w:id="9"/>
      <w:r>
        <w:rPr>
          <w:b/>
          <w:bCs/>
          <w:sz w:val="34"/>
          <w:szCs w:val="34"/>
        </w:rPr>
        <w:t>Security, Compliance, and Policy Frameworks</w:t>
      </w:r>
    </w:p>
    <w:p w14:paraId="7E062A1A" w14:textId="77777777" w:rsidR="00A93FC6" w:rsidRDefault="00000000">
      <w:pPr>
        <w:spacing w:before="240" w:after="240"/>
      </w:pPr>
      <w:r>
        <w:t>AI programs require a rigorous, multi-layered framework for security, regulatory compliance, and institutional accountability. Universities must distinguish clearly between security, which encompasses technical safeguards such as patching, malware protection, access controls, and system hardening, and compliance, which is the auditable demonstration that required policies, procedures, and controls are consistently followed.</w:t>
      </w:r>
    </w:p>
    <w:p w14:paraId="4D8A2D57" w14:textId="77777777" w:rsidR="00A93FC6" w:rsidRDefault="00000000">
      <w:pPr>
        <w:spacing w:before="240" w:after="240"/>
      </w:pPr>
      <w:r>
        <w:t>Institutions must establish secure computing environments appropriate for handling sensitive and regulated data, including FERPA, HIPAA, and export-controlled research. Core requirements include clearly articulated responsible-use policies, role-based access controls, data-handling standards, incident response procedures, and formal internal oversight mechanisms.</w:t>
      </w:r>
    </w:p>
    <w:p w14:paraId="48FA5339" w14:textId="77777777" w:rsidR="00A93FC6" w:rsidRDefault="00000000">
      <w:pPr>
        <w:spacing w:before="240" w:after="240"/>
      </w:pPr>
      <w:r>
        <w:t>While lower-risk data and instructional workloads may be governed through internal controls and institutional audits, high-stakes research often requires more formal verification. Funding agencies, research partners, and industry collaborators may require independent audits or external certifications—such as HITRUST and CMMC—to provide assurance that security and compliance standards are being met.</w:t>
      </w:r>
    </w:p>
    <w:p w14:paraId="46578BC5" w14:textId="77777777" w:rsidR="00A93FC6" w:rsidRDefault="00000000">
      <w:pPr>
        <w:spacing w:before="240" w:after="240"/>
      </w:pPr>
      <w:r>
        <w:t>When institutions rely on cloud-based or consortium-managed infrastructure, accountability must be explicitly defined through contractual agreements. These agreements should specify responsibility for restricted data handling, monitoring, breach notification, audit support, and regulatory reporting. Leveraging pre-certified environments operated by trusted providers or consortia can reduce institutional burden, but it does not eliminate institutional responsibility for compliance.</w:t>
      </w:r>
    </w:p>
    <w:p w14:paraId="2799EB25" w14:textId="77777777" w:rsidR="00A93FC6" w:rsidRDefault="00000000">
      <w:pPr>
        <w:spacing w:before="240" w:after="240"/>
      </w:pPr>
      <w:r>
        <w:t>Finally, governance frameworks must also address resource allocation and fair access. Clear policies, such as usage limits, pre-paid GPU or CPU packages, and priority tiers for sponsored research, help ensure efficient use of shared resources, prevent overconsumption, and align infrastructure use with institutional mission and funding constraints.</w:t>
      </w:r>
    </w:p>
    <w:p w14:paraId="56DEB777" w14:textId="77777777" w:rsidR="00A93FC6" w:rsidRDefault="00A93FC6">
      <w:pPr>
        <w:spacing w:before="240" w:after="240"/>
      </w:pPr>
    </w:p>
    <w:p w14:paraId="393145F2" w14:textId="77777777" w:rsidR="00A93FC6" w:rsidRDefault="00000000">
      <w:pPr>
        <w:pStyle w:val="Heading3"/>
        <w:keepNext w:val="0"/>
        <w:keepLines w:val="0"/>
        <w:spacing w:before="280"/>
        <w:rPr>
          <w:b/>
          <w:bCs/>
          <w:color w:val="000000"/>
          <w:sz w:val="34"/>
          <w:szCs w:val="34"/>
        </w:rPr>
      </w:pPr>
      <w:bookmarkStart w:id="10" w:name="_qidibnt4ozt9" w:colFirst="0" w:colLast="0"/>
      <w:bookmarkEnd w:id="10"/>
      <w:r>
        <w:rPr>
          <w:b/>
          <w:bCs/>
          <w:color w:val="000000"/>
          <w:sz w:val="34"/>
          <w:szCs w:val="34"/>
        </w:rPr>
        <w:lastRenderedPageBreak/>
        <w:t>Financial Model</w:t>
      </w:r>
    </w:p>
    <w:p w14:paraId="3255161A" w14:textId="77777777" w:rsidR="00A93FC6" w:rsidRDefault="00000000">
      <w:pPr>
        <w:spacing w:before="240" w:after="240"/>
      </w:pPr>
      <w:r>
        <w:t>Sustainable AI infrastructure requires planning for capital, maintenance, and operational costs. The details depend on whether cloud-based, shared, or on-campus infrastructure is used. Funding sources may include:</w:t>
      </w:r>
    </w:p>
    <w:p w14:paraId="053DBE56" w14:textId="77777777" w:rsidR="00A93FC6" w:rsidRDefault="00000000">
      <w:pPr>
        <w:numPr>
          <w:ilvl w:val="0"/>
          <w:numId w:val="3"/>
        </w:numPr>
        <w:spacing w:before="240"/>
      </w:pPr>
      <w:r>
        <w:rPr>
          <w:b/>
          <w:bCs/>
        </w:rPr>
        <w:t>Blending funding:</w:t>
      </w:r>
      <w:r>
        <w:t xml:space="preserve"> Successful institutions leverage a mix of central administration allocations, research grants, philanthropy, state support and industry partnerships.</w:t>
      </w:r>
    </w:p>
    <w:p w14:paraId="2CBBA962" w14:textId="77777777" w:rsidR="00A93FC6" w:rsidRDefault="00000000">
      <w:pPr>
        <w:numPr>
          <w:ilvl w:val="0"/>
          <w:numId w:val="3"/>
        </w:numPr>
      </w:pPr>
      <w:r>
        <w:rPr>
          <w:b/>
          <w:bCs/>
        </w:rPr>
        <w:t xml:space="preserve">Cost Sharing: </w:t>
      </w:r>
      <w:r>
        <w:t>A balanced model, like UF’s, uses central funds to subsidize teaching and student access, while research faculty contribute through resource purchases embedded directly into their grants.</w:t>
      </w:r>
    </w:p>
    <w:p w14:paraId="365DDAA9" w14:textId="77777777" w:rsidR="00A93FC6" w:rsidRDefault="00000000">
      <w:pPr>
        <w:numPr>
          <w:ilvl w:val="0"/>
          <w:numId w:val="3"/>
        </w:numPr>
        <w:spacing w:after="240"/>
      </w:pPr>
      <w:r>
        <w:rPr>
          <w:b/>
          <w:bCs/>
        </w:rPr>
        <w:t>Regional Impact:</w:t>
      </w:r>
      <w:r>
        <w:t xml:space="preserve"> By providing subsidized access to state agencies and partner universities, institutions can offset costs while amplifying their regional strategic value.</w:t>
      </w:r>
      <w:r>
        <w:br/>
      </w:r>
    </w:p>
    <w:p w14:paraId="499A58DD" w14:textId="77777777" w:rsidR="00A93FC6" w:rsidRDefault="00A93FC6">
      <w:pPr>
        <w:spacing w:before="240" w:after="240"/>
        <w:rPr>
          <w:b/>
          <w:bCs/>
        </w:rPr>
      </w:pPr>
    </w:p>
    <w:p w14:paraId="414FFD76" w14:textId="77777777" w:rsidR="00A93FC6" w:rsidRDefault="00000000">
      <w:pPr>
        <w:spacing w:before="240" w:after="240"/>
        <w:rPr>
          <w:b/>
          <w:bCs/>
          <w:sz w:val="34"/>
          <w:szCs w:val="34"/>
        </w:rPr>
      </w:pPr>
      <w:r>
        <w:rPr>
          <w:b/>
          <w:bCs/>
          <w:sz w:val="34"/>
          <w:szCs w:val="34"/>
        </w:rPr>
        <w:t>Culture and Incentives</w:t>
      </w:r>
    </w:p>
    <w:p w14:paraId="34BB7647" w14:textId="77777777" w:rsidR="00A93FC6" w:rsidRDefault="00000000">
      <w:pPr>
        <w:spacing w:before="240" w:after="240"/>
      </w:pPr>
      <w:r>
        <w:t>The ultimate goal of AI infrastructure is to shift the faculty mindset. Infrastructure is not just a utility; it is a catalyst for research that was previously unimaginable.</w:t>
      </w:r>
    </w:p>
    <w:p w14:paraId="16B5568A" w14:textId="77777777" w:rsidR="00A93FC6" w:rsidRDefault="00000000">
      <w:pPr>
        <w:numPr>
          <w:ilvl w:val="0"/>
          <w:numId w:val="7"/>
        </w:numPr>
        <w:spacing w:before="240"/>
      </w:pPr>
      <w:r>
        <w:rPr>
          <w:b/>
          <w:bCs/>
        </w:rPr>
        <w:t>The Mindset of Ambition:</w:t>
      </w:r>
      <w:r>
        <w:t xml:space="preserve"> When faculty are limited to small, local GPUs, they propose modest projects. Providing access to massive scale (32+ nodes) empowers them to "think higher" and pursue high-value, large-scale grants.</w:t>
      </w:r>
    </w:p>
    <w:p w14:paraId="45C5B051" w14:textId="77777777" w:rsidR="00A93FC6" w:rsidRDefault="00000000">
      <w:pPr>
        <w:numPr>
          <w:ilvl w:val="0"/>
          <w:numId w:val="7"/>
        </w:numPr>
      </w:pPr>
      <w:r>
        <w:rPr>
          <w:b/>
          <w:bCs/>
        </w:rPr>
        <w:t>Education as Evangelism:</w:t>
      </w:r>
      <w:r>
        <w:t xml:space="preserve"> Success is not "build it and they will come." It requires a deliberate process of education. Use workshops and "Birds of a Feather" sessions to showcase what is possible, turning skeptics into "test cases" who prove the system’s value.</w:t>
      </w:r>
    </w:p>
    <w:p w14:paraId="4C09F881" w14:textId="77777777" w:rsidR="00A93FC6" w:rsidRDefault="00000000">
      <w:pPr>
        <w:numPr>
          <w:ilvl w:val="0"/>
          <w:numId w:val="7"/>
        </w:numPr>
        <w:spacing w:after="240"/>
      </w:pPr>
      <w:r>
        <w:rPr>
          <w:b/>
          <w:bCs/>
        </w:rPr>
        <w:t>Institutional Alignment:</w:t>
      </w:r>
      <w:r>
        <w:t xml:space="preserve"> Leadership across the Provost, Deans, and Research offices must recognize AI as a foundational academic component. Providing seed funding and subsidized access for early adopters creates the "synergy" needed for long-term engagement.</w:t>
      </w:r>
    </w:p>
    <w:p w14:paraId="358F47FA" w14:textId="77777777" w:rsidR="00A93FC6" w:rsidRDefault="00000000">
      <w:pPr>
        <w:spacing w:before="240" w:after="240"/>
        <w:rPr>
          <w:i/>
          <w:iCs/>
        </w:rPr>
      </w:pPr>
      <w:r>
        <w:t>See more in the paper on</w:t>
      </w:r>
      <w:hyperlink r:id="rId8">
        <w:r w:rsidR="00A93FC6">
          <w:rPr>
            <w:u w:val="single"/>
          </w:rPr>
          <w:t xml:space="preserve"> Culture: Expanding AI Across the Curriculum.</w:t>
        </w:r>
      </w:hyperlink>
    </w:p>
    <w:p w14:paraId="54C916DD" w14:textId="77777777" w:rsidR="00A93FC6" w:rsidRDefault="00A93FC6">
      <w:pPr>
        <w:spacing w:before="240" w:after="240"/>
        <w:rPr>
          <w:b/>
          <w:bCs/>
        </w:rPr>
      </w:pPr>
    </w:p>
    <w:p w14:paraId="417EFC58" w14:textId="77777777" w:rsidR="00A93FC6" w:rsidRDefault="00000000">
      <w:pPr>
        <w:pStyle w:val="Heading2"/>
        <w:keepNext w:val="0"/>
        <w:keepLines w:val="0"/>
        <w:spacing w:after="80"/>
        <w:rPr>
          <w:b/>
          <w:bCs/>
          <w:sz w:val="34"/>
          <w:szCs w:val="34"/>
        </w:rPr>
      </w:pPr>
      <w:bookmarkStart w:id="11" w:name="_ioa95zd44tb0" w:colFirst="0" w:colLast="0"/>
      <w:bookmarkEnd w:id="11"/>
      <w:r>
        <w:rPr>
          <w:b/>
          <w:bCs/>
          <w:sz w:val="34"/>
          <w:szCs w:val="34"/>
        </w:rPr>
        <w:t>Strategic Recommendations</w:t>
      </w:r>
    </w:p>
    <w:p w14:paraId="3FA39090" w14:textId="77777777" w:rsidR="00A93FC6" w:rsidRDefault="00000000">
      <w:pPr>
        <w:numPr>
          <w:ilvl w:val="0"/>
          <w:numId w:val="5"/>
        </w:numPr>
        <w:spacing w:before="240"/>
      </w:pPr>
      <w:r>
        <w:rPr>
          <w:b/>
          <w:bCs/>
        </w:rPr>
        <w:t>Calibrate Scale:</w:t>
      </w:r>
      <w:r>
        <w:t xml:space="preserve"> Match your infrastructure model (Cloud, Shared, or On-Campus) to your specific capabilities, mission, and projected workloads.</w:t>
      </w:r>
    </w:p>
    <w:p w14:paraId="00EDC0EE" w14:textId="77777777" w:rsidR="00A93FC6" w:rsidRDefault="00000000">
      <w:pPr>
        <w:numPr>
          <w:ilvl w:val="0"/>
          <w:numId w:val="5"/>
        </w:numPr>
      </w:pPr>
      <w:r>
        <w:rPr>
          <w:b/>
          <w:bCs/>
        </w:rPr>
        <w:t>Prioritize Compliance:</w:t>
      </w:r>
      <w:r>
        <w:t xml:space="preserve"> Establish auditable environments for sensitive data (FERPA/HIPAA) early to enable high-value research.</w:t>
      </w:r>
    </w:p>
    <w:p w14:paraId="3C0F0B0E" w14:textId="77777777" w:rsidR="00A93FC6" w:rsidRDefault="00000000">
      <w:pPr>
        <w:numPr>
          <w:ilvl w:val="0"/>
          <w:numId w:val="5"/>
        </w:numPr>
      </w:pPr>
      <w:r>
        <w:rPr>
          <w:b/>
          <w:bCs/>
        </w:rPr>
        <w:t>Build the "Pit Crew":</w:t>
      </w:r>
      <w:r>
        <w:t xml:space="preserve"> Hire a multi-functional team of administrators, consultants, and compliance experts proportional to your system's scale.</w:t>
      </w:r>
    </w:p>
    <w:p w14:paraId="2827F274" w14:textId="77777777" w:rsidR="00A93FC6" w:rsidRDefault="00000000">
      <w:pPr>
        <w:numPr>
          <w:ilvl w:val="0"/>
          <w:numId w:val="5"/>
        </w:numPr>
      </w:pPr>
      <w:r>
        <w:rPr>
          <w:b/>
          <w:bCs/>
        </w:rPr>
        <w:lastRenderedPageBreak/>
        <w:t>Diversify Funding:</w:t>
      </w:r>
      <w:r>
        <w:t xml:space="preserve"> Use a blended model of central funds, grants, and philanthropy to ensure long-term sustainability.</w:t>
      </w:r>
    </w:p>
    <w:p w14:paraId="1F8D0D55" w14:textId="77777777" w:rsidR="00A93FC6" w:rsidRDefault="00000000">
      <w:pPr>
        <w:numPr>
          <w:ilvl w:val="0"/>
          <w:numId w:val="5"/>
        </w:numPr>
        <w:spacing w:after="240"/>
      </w:pPr>
      <w:r>
        <w:rPr>
          <w:b/>
          <w:bCs/>
        </w:rPr>
        <w:t>Align Leadership:</w:t>
      </w:r>
      <w:r>
        <w:t xml:space="preserve"> Integrate AI as a foundational academic component by aligning the Provost, Deans, and Research offices.</w:t>
      </w:r>
    </w:p>
    <w:p w14:paraId="01452A68" w14:textId="77777777" w:rsidR="00A93FC6" w:rsidRDefault="00A93FC6">
      <w:pPr>
        <w:spacing w:before="240" w:after="240"/>
        <w:rPr>
          <w:b/>
          <w:bCs/>
        </w:rPr>
      </w:pPr>
    </w:p>
    <w:p w14:paraId="557897EB" w14:textId="77777777" w:rsidR="00A93FC6" w:rsidRDefault="00A93FC6">
      <w:pPr>
        <w:spacing w:before="240" w:after="240"/>
      </w:pPr>
    </w:p>
    <w:p w14:paraId="0E68FECC" w14:textId="77777777" w:rsidR="00A93FC6" w:rsidRDefault="00A93FC6">
      <w:pPr>
        <w:rPr>
          <w:b/>
          <w:bCs/>
        </w:rPr>
      </w:pPr>
    </w:p>
    <w:sectPr w:rsidR="00A93FC6">
      <w:headerReference w:type="even" r:id="rId9"/>
      <w:headerReference w:type="default" r:id="rId10"/>
      <w:footerReference w:type="default" r:id="rId11"/>
      <w:headerReference w:type="first" r:id="rId12"/>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4CFF7" w14:textId="77777777" w:rsidR="00175891" w:rsidRDefault="00175891">
      <w:pPr>
        <w:spacing w:line="240" w:lineRule="auto"/>
      </w:pPr>
      <w:r>
        <w:separator/>
      </w:r>
    </w:p>
  </w:endnote>
  <w:endnote w:type="continuationSeparator" w:id="0">
    <w:p w14:paraId="5F294EDE" w14:textId="77777777" w:rsidR="00175891" w:rsidRDefault="00175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BCA23E0-6D1E-E04B-98F4-F5375EBC281D}"/>
  </w:font>
  <w:font w:name="Arial">
    <w:panose1 w:val="020B0604020202020204"/>
    <w:charset w:val="00"/>
    <w:family w:val="swiss"/>
    <w:pitch w:val="variable"/>
    <w:sig w:usb0="E0002AFF" w:usb1="C0007843" w:usb2="00000009" w:usb3="00000000" w:csb0="000001FF" w:csb1="00000000"/>
    <w:embedRegular r:id="rId2" w:fontKey="{C6C7A7BD-D93A-BE4E-A329-56A4079E8BB2}"/>
    <w:embedBold r:id="rId3" w:fontKey="{70EE0845-4B5D-D843-814C-7DCE64A2BBB9}"/>
    <w:embedItalic r:id="rId4" w:fontKey="{F1A75E44-9EE0-EB41-BDAF-F32E9B7E2A74}"/>
  </w:font>
  <w:font w:name="Calibri">
    <w:panose1 w:val="020F0502020204030204"/>
    <w:charset w:val="00"/>
    <w:family w:val="swiss"/>
    <w:pitch w:val="variable"/>
    <w:sig w:usb0="E4002EFF" w:usb1="C200247B" w:usb2="00000009" w:usb3="00000000" w:csb0="000001FF" w:csb1="00000000"/>
    <w:embedRegular r:id="rId5" w:fontKey="{BA2495D9-D4E8-C142-82BA-98B1AA8D4CE8}"/>
  </w:font>
  <w:font w:name="Cambria">
    <w:panose1 w:val="02040503050406030204"/>
    <w:charset w:val="00"/>
    <w:family w:val="roman"/>
    <w:pitch w:val="variable"/>
    <w:sig w:usb0="E00006FF" w:usb1="420024FF" w:usb2="02000000" w:usb3="00000000" w:csb0="0000019F" w:csb1="00000000"/>
    <w:embedRegular r:id="rId6" w:fontKey="{AA408791-81C6-BF42-B39A-A319D3D11A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7B81" w14:textId="6BB3222C" w:rsidR="00A93FC6" w:rsidRDefault="00E4225B">
    <w:pPr>
      <w:jc w:val="right"/>
    </w:pPr>
    <w:r>
      <w:rPr>
        <w:noProof/>
      </w:rPr>
      <w:drawing>
        <wp:anchor distT="0" distB="0" distL="114300" distR="114300" simplePos="0" relativeHeight="251660288" behindDoc="0" locked="0" layoutInCell="1" allowOverlap="1" wp14:anchorId="5232F568" wp14:editId="5FFC540F">
          <wp:simplePos x="0" y="0"/>
          <wp:positionH relativeFrom="page">
            <wp:posOffset>4375448</wp:posOffset>
          </wp:positionH>
          <wp:positionV relativeFrom="page">
            <wp:posOffset>9571131</wp:posOffset>
          </wp:positionV>
          <wp:extent cx="2231136" cy="338328"/>
          <wp:effectExtent l="0" t="0" r="0" b="0"/>
          <wp:wrapNone/>
          <wp:docPr id="12196948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9487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31136" cy="338328"/>
                  </a:xfrm>
                  <a:prstGeom prst="rect">
                    <a:avLst/>
                  </a:prstGeom>
                </pic:spPr>
              </pic:pic>
            </a:graphicData>
          </a:graphic>
          <wp14:sizeRelH relativeFrom="margin">
            <wp14:pctWidth>0</wp14:pctWidth>
          </wp14:sizeRelH>
          <wp14:sizeRelV relativeFrom="margin">
            <wp14:pctHeight>0</wp14:pctHeight>
          </wp14:sizeRelV>
        </wp:anchor>
      </w:drawing>
    </w:r>
    <w:r w:rsidR="00000000">
      <w:fldChar w:fldCharType="begin"/>
    </w:r>
    <w:r w:rsidR="00000000">
      <w:instrText>PAGE</w:instrText>
    </w:r>
    <w:r w:rsidR="00000000">
      <w:fldChar w:fldCharType="separate"/>
    </w:r>
    <w:r w:rsidR="004A36F0">
      <w:rPr>
        <w:noProof/>
      </w:rPr>
      <w:t>1</w:t>
    </w:r>
    <w:r w:rsidR="000000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58F3" w14:textId="77777777" w:rsidR="00175891" w:rsidRDefault="00175891">
      <w:pPr>
        <w:spacing w:line="240" w:lineRule="auto"/>
      </w:pPr>
      <w:r>
        <w:separator/>
      </w:r>
    </w:p>
  </w:footnote>
  <w:footnote w:type="continuationSeparator" w:id="0">
    <w:p w14:paraId="26479F0C" w14:textId="77777777" w:rsidR="00175891" w:rsidRDefault="001758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1D53" w14:textId="77777777" w:rsidR="00EB2F78" w:rsidRDefault="00EB2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40A3" w14:textId="77777777" w:rsidR="00EB2F78" w:rsidRDefault="00EB2F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0120" w14:textId="77777777" w:rsidR="00EB2F78" w:rsidRDefault="00EB2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04D8C"/>
    <w:multiLevelType w:val="multilevel"/>
    <w:tmpl w:val="4E98AF8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E85089C"/>
    <w:multiLevelType w:val="multilevel"/>
    <w:tmpl w:val="D534E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DD2A6F"/>
    <w:multiLevelType w:val="multilevel"/>
    <w:tmpl w:val="4FEEE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8B0261"/>
    <w:multiLevelType w:val="multilevel"/>
    <w:tmpl w:val="D4348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1F2A13"/>
    <w:multiLevelType w:val="multilevel"/>
    <w:tmpl w:val="C0C6F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36319F"/>
    <w:multiLevelType w:val="multilevel"/>
    <w:tmpl w:val="BEEE6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22031D"/>
    <w:multiLevelType w:val="multilevel"/>
    <w:tmpl w:val="176A8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6335D3"/>
    <w:multiLevelType w:val="multilevel"/>
    <w:tmpl w:val="54D24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2215270"/>
    <w:multiLevelType w:val="multilevel"/>
    <w:tmpl w:val="95B25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582CBC"/>
    <w:multiLevelType w:val="multilevel"/>
    <w:tmpl w:val="C9EA8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7330831">
    <w:abstractNumId w:val="2"/>
  </w:num>
  <w:num w:numId="2" w16cid:durableId="1749768222">
    <w:abstractNumId w:val="3"/>
  </w:num>
  <w:num w:numId="3" w16cid:durableId="1366903487">
    <w:abstractNumId w:val="7"/>
  </w:num>
  <w:num w:numId="4" w16cid:durableId="1567761300">
    <w:abstractNumId w:val="0"/>
  </w:num>
  <w:num w:numId="5" w16cid:durableId="1703827194">
    <w:abstractNumId w:val="9"/>
  </w:num>
  <w:num w:numId="6" w16cid:durableId="1241209111">
    <w:abstractNumId w:val="6"/>
  </w:num>
  <w:num w:numId="7" w16cid:durableId="545020644">
    <w:abstractNumId w:val="5"/>
  </w:num>
  <w:num w:numId="8" w16cid:durableId="1783764469">
    <w:abstractNumId w:val="4"/>
  </w:num>
  <w:num w:numId="9" w16cid:durableId="1004934459">
    <w:abstractNumId w:val="1"/>
  </w:num>
  <w:num w:numId="10" w16cid:durableId="657995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C6"/>
    <w:rsid w:val="00175891"/>
    <w:rsid w:val="00281253"/>
    <w:rsid w:val="002A410C"/>
    <w:rsid w:val="00397CD4"/>
    <w:rsid w:val="004A36F0"/>
    <w:rsid w:val="005534FB"/>
    <w:rsid w:val="006C6DF8"/>
    <w:rsid w:val="00804888"/>
    <w:rsid w:val="00A93FC6"/>
    <w:rsid w:val="00AE3AB9"/>
    <w:rsid w:val="00E22A92"/>
    <w:rsid w:val="00E4225B"/>
    <w:rsid w:val="00EB2F78"/>
    <w:rsid w:val="00EE4B98"/>
    <w:rsid w:val="00EE525C"/>
    <w:rsid w:val="00F06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32D96"/>
  <w15:docId w15:val="{32725290-F31D-4488-B54E-23B9E955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B2F78"/>
    <w:pPr>
      <w:tabs>
        <w:tab w:val="center" w:pos="4680"/>
        <w:tab w:val="right" w:pos="9360"/>
      </w:tabs>
      <w:spacing w:line="240" w:lineRule="auto"/>
    </w:pPr>
  </w:style>
  <w:style w:type="character" w:customStyle="1" w:styleId="HeaderChar">
    <w:name w:val="Header Char"/>
    <w:basedOn w:val="DefaultParagraphFont"/>
    <w:link w:val="Header"/>
    <w:uiPriority w:val="99"/>
    <w:rsid w:val="00EB2F78"/>
  </w:style>
  <w:style w:type="paragraph" w:styleId="Footer">
    <w:name w:val="footer"/>
    <w:basedOn w:val="Normal"/>
    <w:link w:val="FooterChar"/>
    <w:uiPriority w:val="99"/>
    <w:unhideWhenUsed/>
    <w:rsid w:val="00EB2F78"/>
    <w:pPr>
      <w:tabs>
        <w:tab w:val="center" w:pos="4680"/>
        <w:tab w:val="right" w:pos="9360"/>
      </w:tabs>
      <w:spacing w:line="240" w:lineRule="auto"/>
    </w:pPr>
  </w:style>
  <w:style w:type="character" w:customStyle="1" w:styleId="FooterChar">
    <w:name w:val="Footer Char"/>
    <w:basedOn w:val="DefaultParagraphFont"/>
    <w:link w:val="Footer"/>
    <w:uiPriority w:val="99"/>
    <w:rsid w:val="00EB2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i.ufl.edu/teaching-with-ai/expanding-the-ai-curriculu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2651</Words>
  <Characters>16548</Characters>
  <Application>Microsoft Office Word</Application>
  <DocSecurity>0</DocSecurity>
  <Lines>254</Lines>
  <Paragraphs>85</Paragraphs>
  <ScaleCrop>false</ScaleCrop>
  <Company/>
  <LinksUpToDate>false</LinksUpToDate>
  <CharactersWithSpaces>19114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wise</dc:creator>
  <cp:lastModifiedBy>Ferraro,Erin K</cp:lastModifiedBy>
  <cp:revision>3</cp:revision>
  <cp:lastPrinted>2026-01-20T20:37:00Z</cp:lastPrinted>
  <dcterms:created xsi:type="dcterms:W3CDTF">2026-02-05T20:23:00Z</dcterms:created>
  <dcterms:modified xsi:type="dcterms:W3CDTF">2026-02-05T20:30:00Z</dcterms:modified>
</cp:coreProperties>
</file>